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632D3A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A516BF">
        <w:rPr>
          <w:b/>
          <w:bCs/>
        </w:rPr>
        <w:t xml:space="preserve">  </w:t>
      </w:r>
      <w:r w:rsidR="00266E8B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266E8B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32D3A" w:rsidRPr="00632D3A">
        <w:t>Оборудование климатическое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266E8B" w:rsidRPr="00266E8B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632D3A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266E8B" w:rsidRPr="00266E8B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43190" w:rsidRPr="007B3D84">
        <w:rPr>
          <w:color w:val="000000"/>
        </w:rPr>
        <w:t>п</w:t>
      </w:r>
      <w:r w:rsidR="00D43190" w:rsidRPr="007B3D84">
        <w:t xml:space="preserve">еречисленные выше документы должны быть </w:t>
      </w:r>
      <w:r w:rsidR="00D43190">
        <w:t xml:space="preserve">размещены на </w:t>
      </w:r>
      <w:r w:rsidR="00D43190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54802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374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66E8B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D3A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16BF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3190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5FA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DBE3-0726-41FB-9E8F-025F4DE5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335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2025-10-07T04:50:00Z</dcterms:modified>
</cp:coreProperties>
</file>