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</w:t>
      </w:r>
      <w:r w:rsidR="00D92D61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CE0F14" w:rsidRPr="00CE0F14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92D61">
        <w:t xml:space="preserve">Насосно-компрессорное </w:t>
      </w:r>
      <w:r w:rsidR="00D92D61" w:rsidRPr="00D92D61">
        <w:t>оборудование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CE0F14" w:rsidRPr="00CE0F14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172F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</w:t>
      </w:r>
      <w:r w:rsidR="00D92D61">
        <w:rPr>
          <w:bCs/>
        </w:rPr>
        <w:t>1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7B6908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CE0F14" w:rsidRPr="00CE0F14">
        <w:rPr>
          <w:b/>
        </w:rPr>
        <w:t xml:space="preserve">«07» октября 2025 г. по «18»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>еречисленные выше документы должны б</w:t>
      </w:r>
      <w:bookmarkStart w:id="0" w:name="_GoBack"/>
      <w:bookmarkEnd w:id="0"/>
      <w:r w:rsidR="00D720E2" w:rsidRPr="007B3D84">
        <w:t xml:space="preserve">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67100"/>
    <w:rsid w:val="00172F7E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D6D24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45CF5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169F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525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6908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3655B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0F14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61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82DF-6D79-4900-A242-6793D774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353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2025-10-07T04:28:00Z</dcterms:modified>
</cp:coreProperties>
</file>