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45EBF" w14:textId="77777777" w:rsidR="00176E10" w:rsidRPr="00326FC6" w:rsidRDefault="00176E10" w:rsidP="008339C4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bookmarkStart w:id="0" w:name="_Toc458686786"/>
      <w:bookmarkStart w:id="1" w:name="_GoBack"/>
      <w:bookmarkEnd w:id="1"/>
      <w:r w:rsidRPr="00326FC6">
        <w:rPr>
          <w:rFonts w:ascii="Times New Roman" w:hAnsi="Times New Roman"/>
          <w:sz w:val="24"/>
          <w:szCs w:val="24"/>
        </w:rPr>
        <w:t>Приложение №</w:t>
      </w:r>
      <w:bookmarkEnd w:id="0"/>
      <w:r w:rsidRPr="00326FC6">
        <w:rPr>
          <w:rFonts w:ascii="Times New Roman" w:hAnsi="Times New Roman"/>
          <w:sz w:val="24"/>
          <w:szCs w:val="24"/>
        </w:rPr>
        <w:t>2.2</w:t>
      </w:r>
    </w:p>
    <w:p w14:paraId="3B538EBE" w14:textId="77777777" w:rsidR="000D01BC" w:rsidRPr="00326FC6" w:rsidRDefault="00176E10" w:rsidP="008339C4">
      <w:pPr>
        <w:tabs>
          <w:tab w:val="left" w:pos="851"/>
        </w:tabs>
        <w:spacing w:after="0" w:line="240" w:lineRule="auto"/>
        <w:ind w:left="851" w:hanging="851"/>
        <w:jc w:val="right"/>
        <w:rPr>
          <w:rFonts w:ascii="Times New Roman" w:hAnsi="Times New Roman"/>
          <w:bCs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к Договору №</w:t>
      </w:r>
      <w:r w:rsidRPr="00326FC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326FC6">
        <w:rPr>
          <w:rFonts w:ascii="Times New Roman" w:hAnsi="Times New Roman"/>
          <w:bCs/>
          <w:sz w:val="24"/>
          <w:szCs w:val="24"/>
        </w:rPr>
      </w:r>
      <w:r w:rsidRPr="00326FC6">
        <w:rPr>
          <w:rFonts w:ascii="Times New Roman" w:hAnsi="Times New Roman"/>
          <w:bCs/>
          <w:sz w:val="24"/>
          <w:szCs w:val="24"/>
        </w:rPr>
        <w:fldChar w:fldCharType="separate"/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sz w:val="24"/>
          <w:szCs w:val="24"/>
        </w:rPr>
        <w:fldChar w:fldCharType="end"/>
      </w:r>
    </w:p>
    <w:p w14:paraId="0F97E232" w14:textId="77777777" w:rsidR="00176E10" w:rsidRPr="00326FC6" w:rsidRDefault="00176E10" w:rsidP="008339C4">
      <w:pPr>
        <w:tabs>
          <w:tab w:val="left" w:pos="851"/>
        </w:tabs>
        <w:spacing w:after="0" w:line="240" w:lineRule="auto"/>
        <w:ind w:left="851" w:hanging="851"/>
        <w:jc w:val="right"/>
        <w:rPr>
          <w:rFonts w:ascii="Times New Roman" w:hAnsi="Times New Roman"/>
          <w:bCs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от «</w:t>
      </w:r>
      <w:r w:rsidRPr="00326FC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326FC6">
        <w:rPr>
          <w:rFonts w:ascii="Times New Roman" w:hAnsi="Times New Roman"/>
          <w:bCs/>
          <w:sz w:val="24"/>
          <w:szCs w:val="24"/>
        </w:rPr>
      </w:r>
      <w:r w:rsidRPr="00326FC6">
        <w:rPr>
          <w:rFonts w:ascii="Times New Roman" w:hAnsi="Times New Roman"/>
          <w:bCs/>
          <w:sz w:val="24"/>
          <w:szCs w:val="24"/>
        </w:rPr>
        <w:fldChar w:fldCharType="separate"/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sz w:val="24"/>
          <w:szCs w:val="24"/>
        </w:rPr>
        <w:fldChar w:fldCharType="end"/>
      </w:r>
      <w:r w:rsidRPr="00326FC6">
        <w:rPr>
          <w:rFonts w:ascii="Times New Roman" w:hAnsi="Times New Roman"/>
          <w:sz w:val="24"/>
          <w:szCs w:val="24"/>
        </w:rPr>
        <w:t>»</w:t>
      </w:r>
      <w:r w:rsidRPr="00326FC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326FC6">
        <w:rPr>
          <w:rFonts w:ascii="Times New Roman" w:hAnsi="Times New Roman"/>
          <w:bCs/>
          <w:sz w:val="24"/>
          <w:szCs w:val="24"/>
        </w:rPr>
      </w:r>
      <w:r w:rsidRPr="00326FC6">
        <w:rPr>
          <w:rFonts w:ascii="Times New Roman" w:hAnsi="Times New Roman"/>
          <w:bCs/>
          <w:sz w:val="24"/>
          <w:szCs w:val="24"/>
        </w:rPr>
        <w:fldChar w:fldCharType="separate"/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sz w:val="24"/>
          <w:szCs w:val="24"/>
        </w:rPr>
        <w:fldChar w:fldCharType="end"/>
      </w:r>
    </w:p>
    <w:p w14:paraId="50CD6377" w14:textId="77777777" w:rsidR="00176E10" w:rsidRPr="00326FC6" w:rsidRDefault="00176E10" w:rsidP="008339C4">
      <w:pPr>
        <w:tabs>
          <w:tab w:val="left" w:pos="851"/>
        </w:tabs>
        <w:spacing w:after="0" w:line="240" w:lineRule="auto"/>
        <w:ind w:left="851" w:hanging="851"/>
        <w:jc w:val="right"/>
        <w:rPr>
          <w:rFonts w:ascii="Times New Roman" w:hAnsi="Times New Roman"/>
          <w:sz w:val="24"/>
          <w:szCs w:val="24"/>
        </w:rPr>
      </w:pPr>
    </w:p>
    <w:p w14:paraId="76B08DDE" w14:textId="77777777" w:rsidR="000D01BC" w:rsidRPr="00326FC6" w:rsidRDefault="000D01BC" w:rsidP="008339C4">
      <w:pPr>
        <w:pStyle w:val="2"/>
        <w:tabs>
          <w:tab w:val="left" w:pos="851"/>
        </w:tabs>
        <w:spacing w:after="0" w:line="240" w:lineRule="auto"/>
        <w:ind w:left="851" w:hanging="851"/>
        <w:jc w:val="center"/>
        <w:rPr>
          <w:b/>
          <w:sz w:val="24"/>
          <w:szCs w:val="24"/>
        </w:rPr>
      </w:pPr>
    </w:p>
    <w:p w14:paraId="6E3F765B" w14:textId="30BD66DC" w:rsidR="00E02209" w:rsidRPr="00326FC6" w:rsidRDefault="00E02209" w:rsidP="00E02209">
      <w:pPr>
        <w:pStyle w:val="2"/>
        <w:tabs>
          <w:tab w:val="left" w:pos="851"/>
        </w:tabs>
        <w:spacing w:after="0" w:line="240" w:lineRule="auto"/>
        <w:ind w:left="851" w:hanging="851"/>
        <w:jc w:val="center"/>
        <w:rPr>
          <w:b/>
          <w:sz w:val="24"/>
          <w:szCs w:val="24"/>
          <w:lang w:val="ru-RU"/>
        </w:rPr>
      </w:pPr>
      <w:r w:rsidRPr="00326FC6">
        <w:rPr>
          <w:b/>
          <w:sz w:val="24"/>
          <w:szCs w:val="24"/>
        </w:rPr>
        <w:t xml:space="preserve">Порядок </w:t>
      </w:r>
      <w:r w:rsidR="00690FF7" w:rsidRPr="00326FC6">
        <w:rPr>
          <w:b/>
          <w:sz w:val="24"/>
          <w:szCs w:val="24"/>
          <w:lang w:val="ru-RU"/>
        </w:rPr>
        <w:t>определения</w:t>
      </w:r>
      <w:r w:rsidR="00690FF7" w:rsidRPr="00326FC6">
        <w:rPr>
          <w:b/>
          <w:sz w:val="24"/>
          <w:szCs w:val="24"/>
        </w:rPr>
        <w:t xml:space="preserve"> </w:t>
      </w:r>
      <w:r w:rsidRPr="00326FC6">
        <w:rPr>
          <w:b/>
          <w:sz w:val="24"/>
          <w:szCs w:val="24"/>
        </w:rPr>
        <w:t xml:space="preserve">стоимости </w:t>
      </w:r>
      <w:r w:rsidR="000B15A6" w:rsidRPr="00326FC6">
        <w:rPr>
          <w:b/>
          <w:sz w:val="24"/>
          <w:szCs w:val="24"/>
          <w:lang w:val="ru-RU"/>
        </w:rPr>
        <w:t xml:space="preserve">выполненных </w:t>
      </w:r>
      <w:r w:rsidRPr="00326FC6">
        <w:rPr>
          <w:b/>
          <w:sz w:val="24"/>
          <w:szCs w:val="24"/>
          <w:lang w:val="ru-RU"/>
        </w:rPr>
        <w:t>работ</w:t>
      </w:r>
    </w:p>
    <w:p w14:paraId="13AC72E1" w14:textId="77777777" w:rsidR="00E02209" w:rsidRPr="00326FC6" w:rsidRDefault="00E02209" w:rsidP="00E02209">
      <w:pPr>
        <w:pStyle w:val="2"/>
        <w:tabs>
          <w:tab w:val="left" w:pos="851"/>
        </w:tabs>
        <w:spacing w:after="0" w:line="240" w:lineRule="auto"/>
        <w:ind w:left="851" w:hanging="851"/>
        <w:jc w:val="center"/>
        <w:rPr>
          <w:b/>
          <w:sz w:val="24"/>
          <w:szCs w:val="24"/>
        </w:rPr>
      </w:pPr>
    </w:p>
    <w:p w14:paraId="59BFD1EA" w14:textId="466C184D" w:rsidR="00E02209" w:rsidRPr="00326FC6" w:rsidRDefault="00E02209" w:rsidP="002B479F">
      <w:pPr>
        <w:numPr>
          <w:ilvl w:val="0"/>
          <w:numId w:val="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 xml:space="preserve">Стоимость </w:t>
      </w:r>
      <w:r w:rsidR="00CF0EF3" w:rsidRPr="00326FC6">
        <w:rPr>
          <w:rFonts w:ascii="Times New Roman" w:hAnsi="Times New Roman"/>
          <w:sz w:val="24"/>
          <w:szCs w:val="24"/>
        </w:rPr>
        <w:t xml:space="preserve">выполненных </w:t>
      </w:r>
      <w:r w:rsidRPr="00326FC6">
        <w:rPr>
          <w:rFonts w:ascii="Times New Roman" w:hAnsi="Times New Roman"/>
          <w:sz w:val="24"/>
          <w:szCs w:val="24"/>
        </w:rPr>
        <w:t>работ формируется на основании базисной стоимости на основе локальных смет с пересчетом в текущие цены с помощью индексов, указанных в п.</w:t>
      </w:r>
      <w:r w:rsidR="00FE0416" w:rsidRPr="00326FC6">
        <w:rPr>
          <w:rFonts w:ascii="Times New Roman" w:hAnsi="Times New Roman"/>
          <w:sz w:val="24"/>
          <w:szCs w:val="24"/>
        </w:rPr>
        <w:t xml:space="preserve">3 </w:t>
      </w:r>
      <w:r w:rsidRPr="00326FC6">
        <w:rPr>
          <w:rFonts w:ascii="Times New Roman" w:hAnsi="Times New Roman"/>
          <w:sz w:val="24"/>
          <w:szCs w:val="24"/>
        </w:rPr>
        <w:t>настоящего приложения.</w:t>
      </w:r>
    </w:p>
    <w:p w14:paraId="20CB5CDF" w14:textId="49352984" w:rsidR="00E02209" w:rsidRPr="00326FC6" w:rsidRDefault="00E02209" w:rsidP="002B479F">
      <w:pPr>
        <w:numPr>
          <w:ilvl w:val="0"/>
          <w:numId w:val="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 xml:space="preserve">Стоимость СМР и ПНР определяется с накладными расходами и сметной прибылью согласно сметной документации с применением коэффициентов: </w:t>
      </w:r>
      <w:r w:rsidR="0068534B"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534B"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68534B" w:rsidRPr="00997B79">
        <w:rPr>
          <w:rFonts w:ascii="Times New Roman" w:hAnsi="Times New Roman"/>
          <w:bCs/>
          <w:sz w:val="24"/>
          <w:szCs w:val="24"/>
        </w:rPr>
      </w:r>
      <w:r w:rsidR="0068534B"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997B79">
        <w:rPr>
          <w:rFonts w:ascii="Times New Roman" w:hAnsi="Times New Roman"/>
          <w:bCs/>
          <w:sz w:val="24"/>
          <w:szCs w:val="24"/>
        </w:rPr>
        <w:fldChar w:fldCharType="end"/>
      </w:r>
      <w:r w:rsidRPr="00326FC6">
        <w:rPr>
          <w:rFonts w:ascii="Times New Roman" w:hAnsi="Times New Roman"/>
          <w:sz w:val="24"/>
          <w:szCs w:val="24"/>
        </w:rPr>
        <w:t xml:space="preserve"> - для накладных расходов, </w:t>
      </w:r>
      <w:r w:rsidR="0068534B"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/>
          </w:ffData>
        </w:fldChar>
      </w:r>
      <w:r w:rsidR="0068534B"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68534B" w:rsidRPr="00997B79">
        <w:rPr>
          <w:rFonts w:ascii="Times New Roman" w:hAnsi="Times New Roman"/>
          <w:bCs/>
          <w:sz w:val="24"/>
          <w:szCs w:val="24"/>
        </w:rPr>
      </w:r>
      <w:r w:rsidR="0068534B"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68534B" w:rsidRPr="00997B79">
        <w:rPr>
          <w:rFonts w:ascii="Times New Roman" w:hAnsi="Times New Roman"/>
          <w:bCs/>
          <w:sz w:val="24"/>
          <w:szCs w:val="24"/>
        </w:rPr>
        <w:fldChar w:fldCharType="end"/>
      </w:r>
      <w:r w:rsidRPr="00326FC6">
        <w:rPr>
          <w:rFonts w:ascii="Times New Roman" w:hAnsi="Times New Roman"/>
          <w:sz w:val="24"/>
          <w:szCs w:val="24"/>
        </w:rPr>
        <w:t xml:space="preserve"> – для сметной прибыли </w:t>
      </w:r>
      <w:r w:rsidR="000B15A6" w:rsidRPr="00997B79">
        <w:rPr>
          <w:rFonts w:ascii="Times New Roman" w:hAnsi="Times New Roman"/>
          <w:i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(указать величину коэффициентов по результатам закупки"/>
            </w:textInput>
          </w:ffData>
        </w:fldChar>
      </w:r>
      <w:r w:rsidR="000B15A6" w:rsidRPr="00326FC6">
        <w:rPr>
          <w:rFonts w:ascii="Times New Roman" w:hAnsi="Times New Roman"/>
          <w:i/>
          <w:sz w:val="24"/>
          <w:szCs w:val="24"/>
          <w:highlight w:val="lightGray"/>
        </w:rPr>
        <w:instrText xml:space="preserve"> FORMTEXT </w:instrText>
      </w:r>
      <w:r w:rsidR="000B15A6" w:rsidRPr="00997B79">
        <w:rPr>
          <w:rFonts w:ascii="Times New Roman" w:hAnsi="Times New Roman"/>
          <w:i/>
          <w:sz w:val="24"/>
          <w:szCs w:val="24"/>
          <w:highlight w:val="lightGray"/>
        </w:rPr>
      </w:r>
      <w:r w:rsidR="000B15A6" w:rsidRPr="00997B79">
        <w:rPr>
          <w:rFonts w:ascii="Times New Roman" w:hAnsi="Times New Roman"/>
          <w:i/>
          <w:sz w:val="24"/>
          <w:szCs w:val="24"/>
          <w:highlight w:val="lightGray"/>
        </w:rPr>
        <w:fldChar w:fldCharType="separate"/>
      </w:r>
      <w:r w:rsidR="000B15A6" w:rsidRPr="00326FC6">
        <w:rPr>
          <w:rFonts w:ascii="Times New Roman" w:hAnsi="Times New Roman"/>
          <w:i/>
          <w:noProof/>
          <w:sz w:val="24"/>
          <w:szCs w:val="24"/>
          <w:highlight w:val="lightGray"/>
        </w:rPr>
        <w:t>(указать величину коэффициентов по результатам закупки</w:t>
      </w:r>
      <w:r w:rsidR="000B15A6" w:rsidRPr="00997B79">
        <w:rPr>
          <w:rFonts w:ascii="Times New Roman" w:hAnsi="Times New Roman"/>
          <w:i/>
          <w:sz w:val="24"/>
          <w:szCs w:val="24"/>
          <w:highlight w:val="lightGray"/>
        </w:rPr>
        <w:fldChar w:fldCharType="end"/>
      </w:r>
      <w:r w:rsidRPr="00326FC6">
        <w:rPr>
          <w:rFonts w:ascii="Times New Roman" w:hAnsi="Times New Roman"/>
          <w:i/>
          <w:sz w:val="24"/>
          <w:szCs w:val="24"/>
          <w:highlight w:val="lightGray"/>
        </w:rPr>
        <w:t>)</w:t>
      </w:r>
      <w:r w:rsidR="00816D2E" w:rsidRPr="00816D2E">
        <w:rPr>
          <w:rFonts w:ascii="Times New Roman" w:hAnsi="Times New Roman"/>
          <w:i/>
          <w:sz w:val="24"/>
          <w:szCs w:val="24"/>
        </w:rPr>
        <w:t xml:space="preserve"> </w:t>
      </w:r>
      <w:r w:rsidR="00816D2E" w:rsidRPr="00816D2E">
        <w:rPr>
          <w:rFonts w:ascii="Times New Roman" w:hAnsi="Times New Roman"/>
          <w:sz w:val="24"/>
          <w:szCs w:val="24"/>
        </w:rPr>
        <w:t>и коэффициентов</w:t>
      </w:r>
      <w:r w:rsidR="00816D2E" w:rsidRPr="00326FC6">
        <w:rPr>
          <w:rFonts w:ascii="Times New Roman" w:hAnsi="Times New Roman"/>
          <w:sz w:val="24"/>
          <w:szCs w:val="24"/>
        </w:rPr>
        <w:t xml:space="preserve"> </w:t>
      </w:r>
      <w:r w:rsidR="00024DDA">
        <w:rPr>
          <w:rFonts w:ascii="Times New Roman" w:hAnsi="Times New Roman"/>
          <w:i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(указать наименование и величину коэффициентов по результатам закупки, указанную в приложении 2"/>
            </w:textInput>
          </w:ffData>
        </w:fldChar>
      </w:r>
      <w:r w:rsidR="00024DDA">
        <w:rPr>
          <w:rFonts w:ascii="Times New Roman" w:hAnsi="Times New Roman"/>
          <w:i/>
          <w:sz w:val="24"/>
          <w:szCs w:val="24"/>
          <w:highlight w:val="lightGray"/>
        </w:rPr>
        <w:instrText xml:space="preserve"> FORMTEXT </w:instrText>
      </w:r>
      <w:r w:rsidR="00024DDA">
        <w:rPr>
          <w:rFonts w:ascii="Times New Roman" w:hAnsi="Times New Roman"/>
          <w:i/>
          <w:sz w:val="24"/>
          <w:szCs w:val="24"/>
          <w:highlight w:val="lightGray"/>
        </w:rPr>
      </w:r>
      <w:r w:rsidR="00024DDA">
        <w:rPr>
          <w:rFonts w:ascii="Times New Roman" w:hAnsi="Times New Roman"/>
          <w:i/>
          <w:sz w:val="24"/>
          <w:szCs w:val="24"/>
          <w:highlight w:val="lightGray"/>
        </w:rPr>
        <w:fldChar w:fldCharType="separate"/>
      </w:r>
      <w:r w:rsidR="00024DDA">
        <w:rPr>
          <w:rFonts w:ascii="Times New Roman" w:hAnsi="Times New Roman"/>
          <w:i/>
          <w:noProof/>
          <w:sz w:val="24"/>
          <w:szCs w:val="24"/>
          <w:highlight w:val="lightGray"/>
        </w:rPr>
        <w:t>(указать наименование и величину коэффициентов по результатам закупки, указанную в приложении 2</w:t>
      </w:r>
      <w:r w:rsidR="00024DDA">
        <w:rPr>
          <w:rFonts w:ascii="Times New Roman" w:hAnsi="Times New Roman"/>
          <w:i/>
          <w:sz w:val="24"/>
          <w:szCs w:val="24"/>
          <w:highlight w:val="lightGray"/>
        </w:rPr>
        <w:fldChar w:fldCharType="end"/>
      </w:r>
      <w:r w:rsidR="00816D2E" w:rsidRPr="00326FC6">
        <w:rPr>
          <w:rFonts w:ascii="Times New Roman" w:hAnsi="Times New Roman"/>
          <w:i/>
          <w:sz w:val="24"/>
          <w:szCs w:val="24"/>
          <w:highlight w:val="lightGray"/>
        </w:rPr>
        <w:t>).</w:t>
      </w:r>
    </w:p>
    <w:p w14:paraId="34B694C1" w14:textId="534CAAC8" w:rsidR="00E02209" w:rsidRPr="00326FC6" w:rsidRDefault="00E02209" w:rsidP="002B479F">
      <w:pPr>
        <w:numPr>
          <w:ilvl w:val="0"/>
          <w:numId w:val="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Индексы изменения сметной стоимости</w:t>
      </w:r>
      <w:r w:rsidR="000B15A6" w:rsidRPr="00326FC6">
        <w:rPr>
          <w:rFonts w:ascii="Times New Roman" w:hAnsi="Times New Roman"/>
          <w:sz w:val="24"/>
          <w:szCs w:val="24"/>
        </w:rPr>
        <w:t xml:space="preserve"> к сметно-нормативной базе</w:t>
      </w:r>
      <w:r w:rsidRPr="00326FC6">
        <w:rPr>
          <w:rFonts w:ascii="Times New Roman" w:hAnsi="Times New Roman"/>
          <w:sz w:val="24"/>
          <w:szCs w:val="24"/>
        </w:rPr>
        <w:t>, указанные в Приложении 2 к настоящему Договору, по видам затрат:</w:t>
      </w:r>
    </w:p>
    <w:p w14:paraId="5B757D5D" w14:textId="4E40DC96" w:rsidR="00E02209" w:rsidRPr="00326FC6" w:rsidRDefault="00E02209" w:rsidP="002B479F">
      <w:pPr>
        <w:spacing w:after="0" w:line="240" w:lineRule="auto"/>
        <w:ind w:left="709" w:firstLine="1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Индекс ФОТ – в размере</w:t>
      </w:r>
      <w:r w:rsidR="0068534B" w:rsidRPr="00326FC6">
        <w:rPr>
          <w:rFonts w:ascii="Times New Roman" w:hAnsi="Times New Roman"/>
          <w:sz w:val="24"/>
          <w:szCs w:val="24"/>
        </w:rPr>
        <w:t xml:space="preserve"> 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>
              <w:default w:val="___ (заполняется по результатам закупки)"/>
            </w:textInput>
          </w:ffData>
        </w:fldChar>
      </w:r>
      <w:r w:rsidR="000B15A6" w:rsidRPr="00326FC6">
        <w:rPr>
          <w:rFonts w:ascii="Times New Roman" w:hAnsi="Times New Roman"/>
          <w:bCs/>
          <w:i/>
          <w:sz w:val="24"/>
          <w:szCs w:val="24"/>
        </w:rPr>
        <w:instrText xml:space="preserve"> </w:instrText>
      </w:r>
      <w:bookmarkStart w:id="2" w:name="ТекстовоеПоле676"/>
      <w:r w:rsidR="000B15A6" w:rsidRPr="00326FC6">
        <w:rPr>
          <w:rFonts w:ascii="Times New Roman" w:hAnsi="Times New Roman"/>
          <w:bCs/>
          <w:i/>
          <w:sz w:val="24"/>
          <w:szCs w:val="24"/>
        </w:rPr>
        <w:instrText xml:space="preserve">FORMTEXT </w:instrText>
      </w:r>
      <w:r w:rsidR="000B15A6" w:rsidRPr="00997B79">
        <w:rPr>
          <w:rFonts w:ascii="Times New Roman" w:hAnsi="Times New Roman"/>
          <w:bCs/>
          <w:i/>
          <w:sz w:val="24"/>
          <w:szCs w:val="24"/>
        </w:rPr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0B15A6" w:rsidRPr="00326FC6">
        <w:rPr>
          <w:rFonts w:ascii="Times New Roman" w:hAnsi="Times New Roman"/>
          <w:bCs/>
          <w:i/>
          <w:noProof/>
          <w:sz w:val="24"/>
          <w:szCs w:val="24"/>
        </w:rPr>
        <w:t>___ (заполняется по результатам закупки)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bookmarkEnd w:id="2"/>
      <w:r w:rsidRPr="00326FC6">
        <w:rPr>
          <w:rFonts w:ascii="Times New Roman" w:hAnsi="Times New Roman"/>
          <w:sz w:val="24"/>
          <w:szCs w:val="24"/>
        </w:rPr>
        <w:t xml:space="preserve"> учитывает </w:t>
      </w:r>
      <w:r w:rsidR="00FA2217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указать затраты и др, учтенные в индексе"/>
            </w:textInput>
          </w:ffData>
        </w:fldChar>
      </w:r>
      <w:r w:rsidR="00FA2217"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="00FA2217" w:rsidRPr="00997B79">
        <w:rPr>
          <w:rFonts w:ascii="Times New Roman" w:hAnsi="Times New Roman"/>
          <w:bCs/>
          <w:i/>
          <w:sz w:val="24"/>
          <w:szCs w:val="24"/>
        </w:rPr>
      </w:r>
      <w:r w:rsidR="00FA2217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FA2217" w:rsidRPr="00326FC6">
        <w:rPr>
          <w:rFonts w:ascii="Times New Roman" w:hAnsi="Times New Roman"/>
          <w:bCs/>
          <w:i/>
          <w:noProof/>
          <w:sz w:val="24"/>
          <w:szCs w:val="24"/>
        </w:rPr>
        <w:t>указать затраты и др, учтенные в индексе</w:t>
      </w:r>
      <w:r w:rsidR="00FA2217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="00FE0416" w:rsidRPr="00326FC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0416"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bCs/>
          <w:sz w:val="24"/>
          <w:szCs w:val="24"/>
        </w:rPr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end"/>
      </w:r>
    </w:p>
    <w:p w14:paraId="45573D0A" w14:textId="04050F8D" w:rsidR="00E02209" w:rsidRPr="00326FC6" w:rsidRDefault="00E02209" w:rsidP="002B479F">
      <w:pPr>
        <w:spacing w:after="0" w:line="240" w:lineRule="auto"/>
        <w:ind w:left="709" w:firstLine="1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 xml:space="preserve">Индекс к ЭММ – в размере 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>
              <w:default w:val="___ (заполняется по результатам закупки)"/>
            </w:textInput>
          </w:ffData>
        </w:fldChar>
      </w:r>
      <w:r w:rsidR="000B15A6"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="000B15A6" w:rsidRPr="00997B79">
        <w:rPr>
          <w:rFonts w:ascii="Times New Roman" w:hAnsi="Times New Roman"/>
          <w:bCs/>
          <w:i/>
          <w:sz w:val="24"/>
          <w:szCs w:val="24"/>
        </w:rPr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0B15A6" w:rsidRPr="00326FC6">
        <w:rPr>
          <w:rFonts w:ascii="Times New Roman" w:hAnsi="Times New Roman"/>
          <w:bCs/>
          <w:i/>
          <w:noProof/>
          <w:sz w:val="24"/>
          <w:szCs w:val="24"/>
        </w:rPr>
        <w:t>___ (заполняется по результатам закупки)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="0068534B" w:rsidRPr="00326FC6">
        <w:rPr>
          <w:rFonts w:ascii="Times New Roman" w:hAnsi="Times New Roman"/>
          <w:sz w:val="24"/>
          <w:szCs w:val="24"/>
        </w:rPr>
        <w:t xml:space="preserve"> учитывает </w:t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указать затраты и др, учтенные в индексе"/>
            </w:textInput>
          </w:ffData>
        </w:fldChar>
      </w:r>
      <w:r w:rsidR="00FE0416"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bCs/>
          <w:i/>
          <w:sz w:val="24"/>
          <w:szCs w:val="24"/>
        </w:rPr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bCs/>
          <w:i/>
          <w:noProof/>
          <w:sz w:val="24"/>
          <w:szCs w:val="24"/>
        </w:rPr>
        <w:t>указать затраты и др, учтенные в индексе</w:t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="00FE0416" w:rsidRPr="00326FC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0416"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bCs/>
          <w:sz w:val="24"/>
          <w:szCs w:val="24"/>
        </w:rPr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end"/>
      </w:r>
    </w:p>
    <w:p w14:paraId="3ECD83D2" w14:textId="59CDB98C" w:rsidR="00E02209" w:rsidRPr="00326FC6" w:rsidRDefault="00E02209" w:rsidP="002B479F">
      <w:pPr>
        <w:spacing w:after="0" w:line="240" w:lineRule="auto"/>
        <w:ind w:left="709" w:firstLine="1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 xml:space="preserve">Индекс к МТР в размере 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>
              <w:default w:val="___ (заполняется по результатам закупки)"/>
            </w:textInput>
          </w:ffData>
        </w:fldChar>
      </w:r>
      <w:r w:rsidR="000B15A6"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="000B15A6" w:rsidRPr="00997B79">
        <w:rPr>
          <w:rFonts w:ascii="Times New Roman" w:hAnsi="Times New Roman"/>
          <w:bCs/>
          <w:i/>
          <w:sz w:val="24"/>
          <w:szCs w:val="24"/>
        </w:rPr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0B15A6" w:rsidRPr="00326FC6">
        <w:rPr>
          <w:rFonts w:ascii="Times New Roman" w:hAnsi="Times New Roman"/>
          <w:bCs/>
          <w:i/>
          <w:noProof/>
          <w:sz w:val="24"/>
          <w:szCs w:val="24"/>
        </w:rPr>
        <w:t>___ (заполняется по результатам закупки)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="0068534B" w:rsidRPr="00326FC6">
        <w:rPr>
          <w:rFonts w:ascii="Times New Roman" w:hAnsi="Times New Roman"/>
          <w:sz w:val="24"/>
          <w:szCs w:val="24"/>
        </w:rPr>
        <w:t xml:space="preserve"> учитывает </w:t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указать затраты и др, учтенные в индексе"/>
            </w:textInput>
          </w:ffData>
        </w:fldChar>
      </w:r>
      <w:r w:rsidR="00FE0416"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bCs/>
          <w:i/>
          <w:sz w:val="24"/>
          <w:szCs w:val="24"/>
        </w:rPr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bCs/>
          <w:i/>
          <w:noProof/>
          <w:sz w:val="24"/>
          <w:szCs w:val="24"/>
        </w:rPr>
        <w:t>указать затраты и др, учтенные в индексе</w:t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="00FE0416" w:rsidRPr="00326FC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0416"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bCs/>
          <w:sz w:val="24"/>
          <w:szCs w:val="24"/>
        </w:rPr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end"/>
      </w:r>
    </w:p>
    <w:p w14:paraId="6D46EB4C" w14:textId="341E0F02" w:rsidR="00E02209" w:rsidRPr="00326FC6" w:rsidRDefault="00E02209" w:rsidP="002B479F">
      <w:pPr>
        <w:spacing w:after="0" w:line="240" w:lineRule="auto"/>
        <w:ind w:left="709" w:firstLine="1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 xml:space="preserve">Индекс изменения сметной стоимости оборудования - в размере 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>
              <w:default w:val="___ (заполняется по результатам закупки)"/>
            </w:textInput>
          </w:ffData>
        </w:fldChar>
      </w:r>
      <w:r w:rsidR="000B15A6"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="000B15A6" w:rsidRPr="00997B79">
        <w:rPr>
          <w:rFonts w:ascii="Times New Roman" w:hAnsi="Times New Roman"/>
          <w:bCs/>
          <w:i/>
          <w:sz w:val="24"/>
          <w:szCs w:val="24"/>
        </w:rPr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0B15A6" w:rsidRPr="00326FC6">
        <w:rPr>
          <w:rFonts w:ascii="Times New Roman" w:hAnsi="Times New Roman"/>
          <w:bCs/>
          <w:i/>
          <w:noProof/>
          <w:sz w:val="24"/>
          <w:szCs w:val="24"/>
        </w:rPr>
        <w:t>___ (заполняется по результатам закупки)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="0068534B" w:rsidRPr="00326FC6">
        <w:rPr>
          <w:rFonts w:ascii="Times New Roman" w:hAnsi="Times New Roman"/>
          <w:sz w:val="24"/>
          <w:szCs w:val="24"/>
        </w:rPr>
        <w:t xml:space="preserve"> учитывает </w:t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указать затраты и др, учтенные в индексе"/>
            </w:textInput>
          </w:ffData>
        </w:fldChar>
      </w:r>
      <w:r w:rsidR="00FE0416"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bCs/>
          <w:i/>
          <w:sz w:val="24"/>
          <w:szCs w:val="24"/>
        </w:rPr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bCs/>
          <w:i/>
          <w:noProof/>
          <w:sz w:val="24"/>
          <w:szCs w:val="24"/>
        </w:rPr>
        <w:t>указать затраты и др, учтенные в индексе</w:t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="00FE0416" w:rsidRPr="00326FC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0416"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bCs/>
          <w:sz w:val="24"/>
          <w:szCs w:val="24"/>
        </w:rPr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end"/>
      </w:r>
    </w:p>
    <w:p w14:paraId="54BDC4E9" w14:textId="0DF76B92" w:rsidR="00E02209" w:rsidRDefault="00E02209" w:rsidP="002B479F">
      <w:pPr>
        <w:spacing w:after="0" w:line="240" w:lineRule="auto"/>
        <w:ind w:left="709" w:firstLine="1"/>
        <w:jc w:val="both"/>
        <w:rPr>
          <w:rFonts w:ascii="Times New Roman" w:hAnsi="Times New Roman"/>
          <w:bCs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 xml:space="preserve">Индекс ПНР </w:t>
      </w:r>
      <w:r w:rsidR="0068534B" w:rsidRPr="00326FC6">
        <w:rPr>
          <w:rFonts w:ascii="Times New Roman" w:hAnsi="Times New Roman"/>
          <w:sz w:val="24"/>
          <w:szCs w:val="24"/>
        </w:rPr>
        <w:t>–</w:t>
      </w:r>
      <w:r w:rsidRPr="00326FC6">
        <w:rPr>
          <w:rFonts w:ascii="Times New Roman" w:hAnsi="Times New Roman"/>
          <w:sz w:val="24"/>
          <w:szCs w:val="24"/>
        </w:rPr>
        <w:t xml:space="preserve"> в</w:t>
      </w:r>
      <w:r w:rsidR="0068534B" w:rsidRPr="00326FC6">
        <w:rPr>
          <w:rFonts w:ascii="Times New Roman" w:hAnsi="Times New Roman"/>
          <w:sz w:val="24"/>
          <w:szCs w:val="24"/>
        </w:rPr>
        <w:t xml:space="preserve"> размере</w:t>
      </w:r>
      <w:r w:rsidRPr="00326FC6">
        <w:rPr>
          <w:rFonts w:ascii="Times New Roman" w:hAnsi="Times New Roman"/>
          <w:sz w:val="24"/>
          <w:szCs w:val="24"/>
        </w:rPr>
        <w:t xml:space="preserve"> 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>
              <w:default w:val="___ (заполняется по результатам закупки)"/>
            </w:textInput>
          </w:ffData>
        </w:fldChar>
      </w:r>
      <w:r w:rsidR="000B15A6"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="000B15A6" w:rsidRPr="00997B79">
        <w:rPr>
          <w:rFonts w:ascii="Times New Roman" w:hAnsi="Times New Roman"/>
          <w:bCs/>
          <w:i/>
          <w:sz w:val="24"/>
          <w:szCs w:val="24"/>
        </w:rPr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0B15A6" w:rsidRPr="00326FC6">
        <w:rPr>
          <w:rFonts w:ascii="Times New Roman" w:hAnsi="Times New Roman"/>
          <w:bCs/>
          <w:i/>
          <w:noProof/>
          <w:sz w:val="24"/>
          <w:szCs w:val="24"/>
        </w:rPr>
        <w:t>___ (заполняется по результатам закупки)</w:t>
      </w:r>
      <w:r w:rsidR="000B15A6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="0068534B" w:rsidRPr="00326FC6">
        <w:rPr>
          <w:rFonts w:ascii="Times New Roman" w:hAnsi="Times New Roman"/>
          <w:sz w:val="24"/>
          <w:szCs w:val="24"/>
        </w:rPr>
        <w:t xml:space="preserve"> учитывает </w:t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указать затраты и др, учтенные в индексе"/>
            </w:textInput>
          </w:ffData>
        </w:fldChar>
      </w:r>
      <w:r w:rsidR="00FE0416"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bCs/>
          <w:i/>
          <w:sz w:val="24"/>
          <w:szCs w:val="24"/>
        </w:rPr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bCs/>
          <w:i/>
          <w:noProof/>
          <w:sz w:val="24"/>
          <w:szCs w:val="24"/>
        </w:rPr>
        <w:t>указать затраты и др, учтенные в индексе</w:t>
      </w:r>
      <w:r w:rsidR="00FE0416"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="00FE0416" w:rsidRPr="00326FC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0416"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bCs/>
          <w:sz w:val="24"/>
          <w:szCs w:val="24"/>
        </w:rPr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="00FE0416" w:rsidRPr="00997B79">
        <w:rPr>
          <w:rFonts w:ascii="Times New Roman" w:hAnsi="Times New Roman"/>
          <w:bCs/>
          <w:sz w:val="24"/>
          <w:szCs w:val="24"/>
        </w:rPr>
        <w:fldChar w:fldCharType="end"/>
      </w:r>
    </w:p>
    <w:p w14:paraId="11443699" w14:textId="0F7DF20F" w:rsidR="00845929" w:rsidRPr="00326FC6" w:rsidRDefault="00845929" w:rsidP="00845929">
      <w:pPr>
        <w:spacing w:after="0" w:line="240" w:lineRule="auto"/>
        <w:ind w:left="709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Индекс на </w:t>
      </w:r>
      <w:r w:rsidRPr="00845929">
        <w:rPr>
          <w:rFonts w:ascii="Times New Roman" w:hAnsi="Times New Roman"/>
          <w:bCs/>
          <w:sz w:val="24"/>
          <w:szCs w:val="24"/>
        </w:rPr>
        <w:t>перевозки автомобильным транспортом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26FC6">
        <w:rPr>
          <w:rFonts w:ascii="Times New Roman" w:hAnsi="Times New Roman"/>
          <w:sz w:val="24"/>
          <w:szCs w:val="24"/>
        </w:rPr>
        <w:t xml:space="preserve">– в размере </w:t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>
              <w:default w:val="___ (заполняется по результатам закупки)"/>
            </w:textInput>
          </w:ffData>
        </w:fldChar>
      </w:r>
      <w:r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i/>
          <w:sz w:val="24"/>
          <w:szCs w:val="24"/>
        </w:rPr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Pr="00326FC6">
        <w:rPr>
          <w:rFonts w:ascii="Times New Roman" w:hAnsi="Times New Roman"/>
          <w:bCs/>
          <w:i/>
          <w:noProof/>
          <w:sz w:val="24"/>
          <w:szCs w:val="24"/>
        </w:rPr>
        <w:t>___ (заполняется по результатам закупки)</w:t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Pr="00326FC6">
        <w:rPr>
          <w:rFonts w:ascii="Times New Roman" w:hAnsi="Times New Roman"/>
          <w:sz w:val="24"/>
          <w:szCs w:val="24"/>
        </w:rPr>
        <w:t xml:space="preserve"> учитывает </w:t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указать затраты и др, учтенные в индексе"/>
            </w:textInput>
          </w:ffData>
        </w:fldChar>
      </w:r>
      <w:r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i/>
          <w:sz w:val="24"/>
          <w:szCs w:val="24"/>
        </w:rPr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Pr="00326FC6">
        <w:rPr>
          <w:rFonts w:ascii="Times New Roman" w:hAnsi="Times New Roman"/>
          <w:bCs/>
          <w:i/>
          <w:noProof/>
          <w:sz w:val="24"/>
          <w:szCs w:val="24"/>
        </w:rPr>
        <w:t>указать затраты и др, учтенные в индексе</w:t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Pr="00326FC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sz w:val="24"/>
          <w:szCs w:val="24"/>
        </w:rPr>
      </w:r>
      <w:r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997B79">
        <w:rPr>
          <w:rFonts w:ascii="Times New Roman" w:hAnsi="Times New Roman"/>
          <w:bCs/>
          <w:sz w:val="24"/>
          <w:szCs w:val="24"/>
        </w:rPr>
        <w:fldChar w:fldCharType="end"/>
      </w:r>
    </w:p>
    <w:p w14:paraId="104E8679" w14:textId="4D134200" w:rsidR="00845929" w:rsidRDefault="00845929" w:rsidP="00845929">
      <w:pPr>
        <w:spacing w:after="0" w:line="240" w:lineRule="auto"/>
        <w:ind w:left="709" w:firstLine="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Индекс на погрузочно-разгрузочные работы </w:t>
      </w:r>
      <w:r w:rsidRPr="00326FC6">
        <w:rPr>
          <w:rFonts w:ascii="Times New Roman" w:hAnsi="Times New Roman"/>
          <w:sz w:val="24"/>
          <w:szCs w:val="24"/>
        </w:rPr>
        <w:t xml:space="preserve">– в размере </w:t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ТекстовоеПоле676"/>
            <w:enabled/>
            <w:calcOnExit w:val="0"/>
            <w:textInput>
              <w:default w:val="___ (заполняется по результатам закупки)"/>
            </w:textInput>
          </w:ffData>
        </w:fldChar>
      </w:r>
      <w:r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i/>
          <w:sz w:val="24"/>
          <w:szCs w:val="24"/>
        </w:rPr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Pr="00326FC6">
        <w:rPr>
          <w:rFonts w:ascii="Times New Roman" w:hAnsi="Times New Roman"/>
          <w:bCs/>
          <w:i/>
          <w:noProof/>
          <w:sz w:val="24"/>
          <w:szCs w:val="24"/>
        </w:rPr>
        <w:t>___ (заполняется по результатам закупки)</w:t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Pr="00326FC6">
        <w:rPr>
          <w:rFonts w:ascii="Times New Roman" w:hAnsi="Times New Roman"/>
          <w:sz w:val="24"/>
          <w:szCs w:val="24"/>
        </w:rPr>
        <w:t xml:space="preserve"> учитывает </w:t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указать затраты и др, учтенные в индексе"/>
            </w:textInput>
          </w:ffData>
        </w:fldChar>
      </w:r>
      <w:r w:rsidRPr="00326FC6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i/>
          <w:sz w:val="24"/>
          <w:szCs w:val="24"/>
        </w:rPr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Pr="00326FC6">
        <w:rPr>
          <w:rFonts w:ascii="Times New Roman" w:hAnsi="Times New Roman"/>
          <w:bCs/>
          <w:i/>
          <w:noProof/>
          <w:sz w:val="24"/>
          <w:szCs w:val="24"/>
        </w:rPr>
        <w:t>указать затраты и др, учтенные в индексе</w:t>
      </w:r>
      <w:r w:rsidRPr="00997B79">
        <w:rPr>
          <w:rFonts w:ascii="Times New Roman" w:hAnsi="Times New Roman"/>
          <w:bCs/>
          <w:i/>
          <w:sz w:val="24"/>
          <w:szCs w:val="24"/>
        </w:rPr>
        <w:fldChar w:fldCharType="end"/>
      </w:r>
      <w:r w:rsidRPr="00326FC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sz w:val="24"/>
          <w:szCs w:val="24"/>
        </w:rPr>
      </w:r>
      <w:r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326FC6">
        <w:rPr>
          <w:rFonts w:ascii="Times New Roman" w:hAnsi="Times New Roman"/>
          <w:bCs/>
          <w:noProof/>
          <w:sz w:val="24"/>
          <w:szCs w:val="24"/>
        </w:rPr>
        <w:t> </w:t>
      </w:r>
      <w:r w:rsidRPr="00997B79">
        <w:rPr>
          <w:rFonts w:ascii="Times New Roman" w:hAnsi="Times New Roman"/>
          <w:bCs/>
          <w:sz w:val="24"/>
          <w:szCs w:val="24"/>
        </w:rPr>
        <w:fldChar w:fldCharType="end"/>
      </w:r>
    </w:p>
    <w:p w14:paraId="66E1661D" w14:textId="63F55A67" w:rsidR="00EB77CF" w:rsidRDefault="00CF0EF3" w:rsidP="00FA2217">
      <w:pPr>
        <w:numPr>
          <w:ilvl w:val="0"/>
          <w:numId w:val="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2217">
        <w:rPr>
          <w:rFonts w:ascii="Times New Roman" w:hAnsi="Times New Roman"/>
          <w:bCs/>
          <w:sz w:val="24"/>
          <w:szCs w:val="24"/>
        </w:rPr>
        <w:t>В стоимость выполненных работ подлежат включению «</w:t>
      </w:r>
      <w:r w:rsidRPr="00FA2217">
        <w:rPr>
          <w:rFonts w:ascii="Times New Roman" w:hAnsi="Times New Roman"/>
          <w:sz w:val="24"/>
          <w:szCs w:val="24"/>
        </w:rPr>
        <w:t xml:space="preserve">Прочие работы и затраты» </w:t>
      </w:r>
      <w:r w:rsidR="003143AB">
        <w:rPr>
          <w:rFonts w:ascii="Times New Roman" w:hAnsi="Times New Roman"/>
          <w:sz w:val="24"/>
          <w:szCs w:val="24"/>
        </w:rPr>
        <w:t xml:space="preserve">в порядке, предусмотренном Приложением 2.3 к Договору, </w:t>
      </w:r>
      <w:r w:rsidRPr="00FA2217">
        <w:rPr>
          <w:rFonts w:ascii="Times New Roman" w:hAnsi="Times New Roman"/>
          <w:sz w:val="24"/>
          <w:szCs w:val="24"/>
        </w:rPr>
        <w:t xml:space="preserve">в </w:t>
      </w:r>
      <w:r w:rsidR="000262CD" w:rsidRPr="00FA2217">
        <w:rPr>
          <w:rFonts w:ascii="Times New Roman" w:hAnsi="Times New Roman"/>
          <w:sz w:val="24"/>
          <w:szCs w:val="24"/>
        </w:rPr>
        <w:t>пределах лимитов (согласованного размера (процента))</w:t>
      </w:r>
      <w:r w:rsidRPr="00FA2217">
        <w:rPr>
          <w:rFonts w:ascii="Times New Roman" w:hAnsi="Times New Roman"/>
          <w:sz w:val="24"/>
          <w:szCs w:val="24"/>
        </w:rPr>
        <w:t>, указанн</w:t>
      </w:r>
      <w:r w:rsidR="003143AB">
        <w:rPr>
          <w:rFonts w:ascii="Times New Roman" w:hAnsi="Times New Roman"/>
          <w:sz w:val="24"/>
          <w:szCs w:val="24"/>
        </w:rPr>
        <w:t>ых</w:t>
      </w:r>
      <w:r w:rsidR="00971247" w:rsidRPr="00FA2217">
        <w:rPr>
          <w:rFonts w:ascii="Times New Roman" w:hAnsi="Times New Roman"/>
          <w:sz w:val="24"/>
          <w:szCs w:val="24"/>
        </w:rPr>
        <w:t xml:space="preserve"> </w:t>
      </w:r>
      <w:r w:rsidR="00073AA6" w:rsidRPr="00FA2217">
        <w:rPr>
          <w:rFonts w:ascii="Times New Roman" w:hAnsi="Times New Roman"/>
          <w:sz w:val="24"/>
          <w:szCs w:val="24"/>
        </w:rPr>
        <w:t xml:space="preserve">в </w:t>
      </w:r>
      <w:r w:rsidR="00E02209" w:rsidRPr="00FA2217">
        <w:rPr>
          <w:rFonts w:ascii="Times New Roman" w:hAnsi="Times New Roman"/>
          <w:sz w:val="24"/>
          <w:szCs w:val="24"/>
        </w:rPr>
        <w:t>Приложени</w:t>
      </w:r>
      <w:r w:rsidRPr="00FA2217">
        <w:rPr>
          <w:rFonts w:ascii="Times New Roman" w:hAnsi="Times New Roman"/>
          <w:sz w:val="24"/>
          <w:szCs w:val="24"/>
        </w:rPr>
        <w:t>и</w:t>
      </w:r>
      <w:r w:rsidR="00E02209" w:rsidRPr="00FA2217">
        <w:rPr>
          <w:rFonts w:ascii="Times New Roman" w:hAnsi="Times New Roman"/>
          <w:sz w:val="24"/>
          <w:szCs w:val="24"/>
        </w:rPr>
        <w:t xml:space="preserve"> 2 к Договору</w:t>
      </w:r>
      <w:r w:rsidR="000262CD" w:rsidRPr="00FA2217">
        <w:rPr>
          <w:rFonts w:ascii="Times New Roman" w:hAnsi="Times New Roman"/>
          <w:sz w:val="24"/>
          <w:szCs w:val="24"/>
        </w:rPr>
        <w:t xml:space="preserve">. </w:t>
      </w:r>
    </w:p>
    <w:p w14:paraId="29365BB5" w14:textId="701753DA" w:rsidR="00E02209" w:rsidRPr="00FA2217" w:rsidRDefault="00C55760" w:rsidP="00FA2217">
      <w:pPr>
        <w:numPr>
          <w:ilvl w:val="0"/>
          <w:numId w:val="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2217">
        <w:rPr>
          <w:rFonts w:ascii="Times New Roman" w:hAnsi="Times New Roman"/>
          <w:sz w:val="24"/>
          <w:szCs w:val="24"/>
        </w:rPr>
        <w:t>Лимиты на Прочие работы и затраты подтверждаются расчетами, сформированными Подрядчиком и согласованными Заказчиком на каждый вид таких Прочих работ и затрат (</w:t>
      </w:r>
      <w:r w:rsidR="00180497" w:rsidRPr="00FA2217">
        <w:rPr>
          <w:rFonts w:ascii="Times New Roman" w:hAnsi="Times New Roman"/>
          <w:sz w:val="24"/>
          <w:szCs w:val="24"/>
        </w:rPr>
        <w:t>рекомендуемая</w:t>
      </w:r>
      <w:r w:rsidRPr="00FA2217">
        <w:rPr>
          <w:rFonts w:ascii="Times New Roman" w:hAnsi="Times New Roman"/>
          <w:sz w:val="24"/>
          <w:szCs w:val="24"/>
        </w:rPr>
        <w:t xml:space="preserve"> форма расчетов приведена в приложении 2.3 к настоящему договору).</w:t>
      </w:r>
    </w:p>
    <w:p w14:paraId="0C37A065" w14:textId="75F19137" w:rsidR="00971247" w:rsidRPr="00326FC6" w:rsidRDefault="00E02209" w:rsidP="002B479F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Лимиты на Прочие работы и затраты (в абсолютной величине, т.е. определенные не в процент</w:t>
      </w:r>
      <w:r w:rsidR="00252330">
        <w:rPr>
          <w:rFonts w:ascii="Times New Roman" w:hAnsi="Times New Roman"/>
          <w:sz w:val="24"/>
          <w:szCs w:val="24"/>
        </w:rPr>
        <w:t>н</w:t>
      </w:r>
      <w:r w:rsidRPr="00326FC6">
        <w:rPr>
          <w:rFonts w:ascii="Times New Roman" w:hAnsi="Times New Roman"/>
          <w:sz w:val="24"/>
          <w:szCs w:val="24"/>
        </w:rPr>
        <w:t>ом отношении), указанные в Приложении №2, пересмотру не подлежат и являются предельными величинами до окончания строительства Объекта</w:t>
      </w:r>
      <w:r w:rsidR="00971247" w:rsidRPr="00326FC6">
        <w:rPr>
          <w:rFonts w:ascii="Times New Roman" w:hAnsi="Times New Roman"/>
          <w:sz w:val="24"/>
          <w:szCs w:val="24"/>
        </w:rPr>
        <w:t>, за исключением случаев, предусмотренных договором и приложениями к нему</w:t>
      </w:r>
      <w:r w:rsidRPr="00326FC6">
        <w:rPr>
          <w:rFonts w:ascii="Times New Roman" w:hAnsi="Times New Roman"/>
          <w:sz w:val="24"/>
          <w:szCs w:val="24"/>
        </w:rPr>
        <w:t xml:space="preserve">. </w:t>
      </w:r>
    </w:p>
    <w:p w14:paraId="694B0D14" w14:textId="2452C419" w:rsidR="000B79B1" w:rsidRPr="00326FC6" w:rsidRDefault="00E02209" w:rsidP="00845929">
      <w:pPr>
        <w:tabs>
          <w:tab w:val="left" w:pos="709"/>
        </w:tabs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Перераспределение лимитов между отдельными видами Прочих работ и затрат в пределах общего лимита на Прочие работы и затраты</w:t>
      </w:r>
      <w:r w:rsidR="00CF0EF3" w:rsidRPr="00326FC6">
        <w:rPr>
          <w:rFonts w:ascii="Times New Roman" w:hAnsi="Times New Roman"/>
          <w:sz w:val="24"/>
          <w:szCs w:val="24"/>
        </w:rPr>
        <w:t xml:space="preserve"> возможно</w:t>
      </w:r>
      <w:r w:rsidR="006F135E">
        <w:rPr>
          <w:rFonts w:ascii="Times New Roman" w:hAnsi="Times New Roman"/>
          <w:sz w:val="24"/>
          <w:szCs w:val="24"/>
        </w:rPr>
        <w:t xml:space="preserve"> только при соответствующем изменении проектной документации. </w:t>
      </w:r>
    </w:p>
    <w:p w14:paraId="362B3836" w14:textId="03B0023D" w:rsidR="00FE0416" w:rsidRDefault="00B45D49" w:rsidP="00845929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Приемка р</w:t>
      </w:r>
      <w:r w:rsidR="00FE0416" w:rsidRPr="00326FC6">
        <w:rPr>
          <w:rFonts w:ascii="Times New Roman" w:hAnsi="Times New Roman"/>
          <w:sz w:val="24"/>
          <w:szCs w:val="24"/>
        </w:rPr>
        <w:t xml:space="preserve">абот по устройству лежневого настила </w:t>
      </w:r>
      <w:r w:rsidRPr="00326FC6">
        <w:rPr>
          <w:rFonts w:ascii="Times New Roman" w:hAnsi="Times New Roman"/>
          <w:sz w:val="24"/>
          <w:szCs w:val="24"/>
        </w:rPr>
        <w:t>осуществляется исходя из их фактического объема из расчета</w:t>
      </w:r>
      <w:r w:rsidR="00FE0416" w:rsidRPr="00326FC6">
        <w:rPr>
          <w:rFonts w:ascii="Times New Roman" w:hAnsi="Times New Roman"/>
          <w:sz w:val="24"/>
          <w:szCs w:val="24"/>
        </w:rPr>
        <w:t xml:space="preserve"> </w:t>
      </w:r>
      <w:r w:rsidR="00FE0416" w:rsidRPr="00997B79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17"/>
            <w:enabled/>
            <w:calcOnExit w:val="0"/>
            <w:textInput/>
          </w:ffData>
        </w:fldChar>
      </w:r>
      <w:r w:rsidR="00FE0416" w:rsidRPr="00326FC6">
        <w:rPr>
          <w:rFonts w:ascii="Times New Roman" w:hAnsi="Times New Roman"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sz w:val="24"/>
          <w:szCs w:val="24"/>
        </w:rPr>
      </w:r>
      <w:r w:rsidR="00FE0416" w:rsidRPr="00997B79">
        <w:rPr>
          <w:rFonts w:ascii="Times New Roman" w:hAnsi="Times New Roman"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997B79">
        <w:rPr>
          <w:rFonts w:ascii="Times New Roman" w:hAnsi="Times New Roman"/>
          <w:sz w:val="24"/>
          <w:szCs w:val="24"/>
        </w:rPr>
        <w:fldChar w:fldCharType="end"/>
      </w:r>
      <w:r w:rsidR="00FE0416" w:rsidRPr="00326FC6">
        <w:rPr>
          <w:rFonts w:ascii="Times New Roman" w:hAnsi="Times New Roman"/>
          <w:sz w:val="24"/>
          <w:szCs w:val="24"/>
        </w:rPr>
        <w:t xml:space="preserve"> руб. за 1 м2 </w:t>
      </w:r>
      <w:r w:rsidR="00FE0416" w:rsidRPr="00997B79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17"/>
            <w:enabled/>
            <w:calcOnExit w:val="0"/>
            <w:textInput>
              <w:default w:val="(расценка не учитывает затраты на МТР и стоимость доставки древесины к месту укладки лежневого настила) "/>
            </w:textInput>
          </w:ffData>
        </w:fldChar>
      </w:r>
      <w:bookmarkStart w:id="3" w:name="ТекстовоеПоле817"/>
      <w:r w:rsidR="00FE0416" w:rsidRPr="00326FC6">
        <w:rPr>
          <w:rFonts w:ascii="Times New Roman" w:hAnsi="Times New Roman"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sz w:val="24"/>
          <w:szCs w:val="24"/>
        </w:rPr>
      </w:r>
      <w:r w:rsidR="00FE0416" w:rsidRPr="00997B79">
        <w:rPr>
          <w:rFonts w:ascii="Times New Roman" w:hAnsi="Times New Roman"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noProof/>
          <w:sz w:val="24"/>
          <w:szCs w:val="24"/>
        </w:rPr>
        <w:t xml:space="preserve">(расценка не учитывает затраты </w:t>
      </w:r>
      <w:r w:rsidR="00FE0416" w:rsidRPr="00326FC6">
        <w:rPr>
          <w:rFonts w:ascii="Times New Roman" w:hAnsi="Times New Roman"/>
          <w:noProof/>
          <w:sz w:val="24"/>
          <w:szCs w:val="24"/>
        </w:rPr>
        <w:lastRenderedPageBreak/>
        <w:t xml:space="preserve">на МТР и стоимость доставки древесины к месту укладки лежневого настила) </w:t>
      </w:r>
      <w:r w:rsidR="00FE0416" w:rsidRPr="00997B79">
        <w:rPr>
          <w:rFonts w:ascii="Times New Roman" w:hAnsi="Times New Roman"/>
          <w:sz w:val="24"/>
          <w:szCs w:val="24"/>
        </w:rPr>
        <w:fldChar w:fldCharType="end"/>
      </w:r>
      <w:bookmarkEnd w:id="3"/>
      <w:r w:rsidR="00FE0416" w:rsidRPr="00326FC6">
        <w:rPr>
          <w:rFonts w:ascii="Times New Roman" w:hAnsi="Times New Roman"/>
          <w:sz w:val="24"/>
          <w:szCs w:val="24"/>
        </w:rPr>
        <w:t>;</w:t>
      </w:r>
      <w:r w:rsidRPr="00326FC6">
        <w:rPr>
          <w:rFonts w:ascii="Times New Roman" w:hAnsi="Times New Roman"/>
          <w:sz w:val="24"/>
          <w:szCs w:val="24"/>
        </w:rPr>
        <w:t xml:space="preserve"> по </w:t>
      </w:r>
      <w:r w:rsidR="00FE0416" w:rsidRPr="00326FC6">
        <w:rPr>
          <w:rFonts w:ascii="Times New Roman" w:hAnsi="Times New Roman"/>
          <w:sz w:val="24"/>
          <w:szCs w:val="24"/>
        </w:rPr>
        <w:t>демонтаж</w:t>
      </w:r>
      <w:r w:rsidRPr="00326FC6">
        <w:rPr>
          <w:rFonts w:ascii="Times New Roman" w:hAnsi="Times New Roman"/>
          <w:sz w:val="24"/>
          <w:szCs w:val="24"/>
        </w:rPr>
        <w:t>у</w:t>
      </w:r>
      <w:r w:rsidR="00FE0416" w:rsidRPr="00326FC6">
        <w:rPr>
          <w:rFonts w:ascii="Times New Roman" w:hAnsi="Times New Roman"/>
          <w:sz w:val="24"/>
          <w:szCs w:val="24"/>
        </w:rPr>
        <w:t xml:space="preserve"> временного лежневого проезда (настила) </w:t>
      </w:r>
      <w:r w:rsidRPr="00326FC6">
        <w:rPr>
          <w:rFonts w:ascii="Times New Roman" w:hAnsi="Times New Roman"/>
          <w:sz w:val="24"/>
          <w:szCs w:val="24"/>
        </w:rPr>
        <w:t>– из расчета</w:t>
      </w:r>
      <w:r w:rsidR="00FE0416" w:rsidRPr="00326FC6">
        <w:rPr>
          <w:rFonts w:ascii="Times New Roman" w:hAnsi="Times New Roman"/>
          <w:sz w:val="24"/>
          <w:szCs w:val="24"/>
        </w:rPr>
        <w:t xml:space="preserve"> </w:t>
      </w:r>
      <w:r w:rsidR="00FE0416" w:rsidRPr="00997B79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818"/>
            <w:enabled/>
            <w:calcOnExit w:val="0"/>
            <w:textInput/>
          </w:ffData>
        </w:fldChar>
      </w:r>
      <w:r w:rsidR="00FE0416" w:rsidRPr="00326FC6">
        <w:rPr>
          <w:rFonts w:ascii="Times New Roman" w:hAnsi="Times New Roman"/>
          <w:sz w:val="24"/>
          <w:szCs w:val="24"/>
        </w:rPr>
        <w:instrText xml:space="preserve"> FORMTEXT </w:instrText>
      </w:r>
      <w:r w:rsidR="00FE0416" w:rsidRPr="00997B79">
        <w:rPr>
          <w:rFonts w:ascii="Times New Roman" w:hAnsi="Times New Roman"/>
          <w:sz w:val="24"/>
          <w:szCs w:val="24"/>
        </w:rPr>
      </w:r>
      <w:r w:rsidR="00FE0416" w:rsidRPr="00997B79">
        <w:rPr>
          <w:rFonts w:ascii="Times New Roman" w:hAnsi="Times New Roman"/>
          <w:sz w:val="24"/>
          <w:szCs w:val="24"/>
        </w:rPr>
        <w:fldChar w:fldCharType="separate"/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326FC6">
        <w:rPr>
          <w:rFonts w:ascii="Times New Roman" w:hAnsi="Times New Roman"/>
          <w:noProof/>
          <w:sz w:val="24"/>
          <w:szCs w:val="24"/>
        </w:rPr>
        <w:t> </w:t>
      </w:r>
      <w:r w:rsidR="00FE0416" w:rsidRPr="00997B79">
        <w:rPr>
          <w:rFonts w:ascii="Times New Roman" w:hAnsi="Times New Roman"/>
          <w:sz w:val="24"/>
          <w:szCs w:val="24"/>
        </w:rPr>
        <w:fldChar w:fldCharType="end"/>
      </w:r>
      <w:r w:rsidR="00FE0416" w:rsidRPr="00326FC6">
        <w:rPr>
          <w:rFonts w:ascii="Times New Roman" w:hAnsi="Times New Roman"/>
          <w:sz w:val="24"/>
          <w:szCs w:val="24"/>
        </w:rPr>
        <w:t xml:space="preserve"> руб. за 1 м2.</w:t>
      </w:r>
    </w:p>
    <w:p w14:paraId="0BC07AA6" w14:textId="0378CD1F" w:rsidR="0061446B" w:rsidRDefault="0061446B" w:rsidP="0061446B">
      <w:pPr>
        <w:numPr>
          <w:ilvl w:val="0"/>
          <w:numId w:val="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компенсирует Подрядчику затраты на зимнее удорожание с начислением норматива, предусмотренного Приложением 2 к Договору, с начислением % от сметной стоимости СМР по итогам глав 1-8. </w:t>
      </w:r>
      <w:r w:rsidRPr="00344E86">
        <w:rPr>
          <w:rFonts w:ascii="Times New Roman" w:hAnsi="Times New Roman"/>
          <w:sz w:val="24"/>
          <w:szCs w:val="24"/>
        </w:rPr>
        <w:t>В случае выполнения полного комплекса СМР только в летний период</w:t>
      </w:r>
      <w:r w:rsidR="00B05298">
        <w:rPr>
          <w:rFonts w:ascii="Times New Roman" w:hAnsi="Times New Roman"/>
          <w:sz w:val="24"/>
          <w:szCs w:val="24"/>
        </w:rPr>
        <w:t>,</w:t>
      </w:r>
      <w:r w:rsidRPr="00344E86">
        <w:rPr>
          <w:rFonts w:ascii="Times New Roman" w:hAnsi="Times New Roman"/>
          <w:sz w:val="24"/>
          <w:szCs w:val="24"/>
        </w:rPr>
        <w:t xml:space="preserve"> затраты на зимнее удорожание не начисляются.</w:t>
      </w:r>
    </w:p>
    <w:p w14:paraId="223121BA" w14:textId="46A7883C" w:rsidR="00EC0823" w:rsidRPr="00326FC6" w:rsidRDefault="00B45D49" w:rsidP="003065D9">
      <w:pPr>
        <w:numPr>
          <w:ilvl w:val="0"/>
          <w:numId w:val="1"/>
        </w:numPr>
        <w:tabs>
          <w:tab w:val="left" w:pos="-3420"/>
          <w:tab w:val="left" w:pos="709"/>
        </w:tabs>
        <w:spacing w:before="120" w:after="0" w:line="240" w:lineRule="auto"/>
        <w:ind w:left="708" w:hanging="424"/>
        <w:jc w:val="both"/>
        <w:rPr>
          <w:rFonts w:ascii="Times New Roman" w:hAnsi="Times New Roman"/>
          <w:sz w:val="24"/>
          <w:szCs w:val="24"/>
        </w:rPr>
      </w:pPr>
      <w:r w:rsidRPr="00845929">
        <w:rPr>
          <w:rFonts w:ascii="Times New Roman" w:hAnsi="Times New Roman"/>
          <w:sz w:val="24"/>
          <w:szCs w:val="24"/>
        </w:rPr>
        <w:t>Приемка н</w:t>
      </w:r>
      <w:r w:rsidR="00EC0823" w:rsidRPr="00326FC6">
        <w:rPr>
          <w:rFonts w:ascii="Times New Roman" w:hAnsi="Times New Roman"/>
          <w:sz w:val="24"/>
          <w:szCs w:val="24"/>
        </w:rPr>
        <w:t>епредвиденны</w:t>
      </w:r>
      <w:r w:rsidRPr="00326FC6">
        <w:rPr>
          <w:rFonts w:ascii="Times New Roman" w:hAnsi="Times New Roman"/>
          <w:sz w:val="24"/>
          <w:szCs w:val="24"/>
        </w:rPr>
        <w:t>х</w:t>
      </w:r>
      <w:r w:rsidR="00EC0823" w:rsidRPr="00326FC6">
        <w:rPr>
          <w:rFonts w:ascii="Times New Roman" w:hAnsi="Times New Roman"/>
          <w:sz w:val="24"/>
          <w:szCs w:val="24"/>
        </w:rPr>
        <w:t xml:space="preserve"> работ</w:t>
      </w:r>
      <w:r w:rsidR="004D7A35" w:rsidRPr="00326FC6">
        <w:rPr>
          <w:rFonts w:ascii="Times New Roman" w:hAnsi="Times New Roman"/>
          <w:sz w:val="24"/>
          <w:szCs w:val="24"/>
        </w:rPr>
        <w:t xml:space="preserve"> </w:t>
      </w:r>
      <w:r w:rsidR="005E2970" w:rsidRPr="00326FC6">
        <w:rPr>
          <w:rFonts w:ascii="Times New Roman" w:hAnsi="Times New Roman"/>
          <w:sz w:val="24"/>
          <w:szCs w:val="24"/>
        </w:rPr>
        <w:t>(</w:t>
      </w:r>
      <w:r w:rsidR="00E21A8E" w:rsidRPr="00326FC6">
        <w:rPr>
          <w:rFonts w:ascii="Times New Roman" w:hAnsi="Times New Roman"/>
          <w:sz w:val="24"/>
          <w:szCs w:val="24"/>
        </w:rPr>
        <w:t>компенсация непредвиденных затрат</w:t>
      </w:r>
      <w:r w:rsidR="005E2970" w:rsidRPr="00326FC6">
        <w:rPr>
          <w:rFonts w:ascii="Times New Roman" w:hAnsi="Times New Roman"/>
          <w:sz w:val="24"/>
          <w:szCs w:val="24"/>
        </w:rPr>
        <w:t>)</w:t>
      </w:r>
      <w:r w:rsidR="00E21A8E" w:rsidRPr="00326FC6">
        <w:rPr>
          <w:rFonts w:ascii="Times New Roman" w:hAnsi="Times New Roman"/>
          <w:sz w:val="24"/>
          <w:szCs w:val="24"/>
        </w:rPr>
        <w:t xml:space="preserve"> </w:t>
      </w:r>
      <w:r w:rsidR="004D7A35" w:rsidRPr="00326FC6">
        <w:rPr>
          <w:rFonts w:ascii="Times New Roman" w:hAnsi="Times New Roman"/>
          <w:sz w:val="24"/>
          <w:szCs w:val="24"/>
        </w:rPr>
        <w:t>осуществляется в пределах установленного Приложением № 2 лимита на «Непредвиденные</w:t>
      </w:r>
      <w:r w:rsidR="00EC0823" w:rsidRPr="00326FC6">
        <w:rPr>
          <w:rFonts w:ascii="Times New Roman" w:hAnsi="Times New Roman"/>
          <w:sz w:val="24"/>
          <w:szCs w:val="24"/>
        </w:rPr>
        <w:t xml:space="preserve"> затрат</w:t>
      </w:r>
      <w:r w:rsidR="004D7A35" w:rsidRPr="00326FC6">
        <w:rPr>
          <w:rFonts w:ascii="Times New Roman" w:hAnsi="Times New Roman"/>
          <w:sz w:val="24"/>
          <w:szCs w:val="24"/>
        </w:rPr>
        <w:t xml:space="preserve">ы», исходя из </w:t>
      </w:r>
      <w:r w:rsidR="00EC0823" w:rsidRPr="00326FC6">
        <w:rPr>
          <w:rFonts w:ascii="Times New Roman" w:hAnsi="Times New Roman"/>
          <w:sz w:val="24"/>
          <w:szCs w:val="24"/>
        </w:rPr>
        <w:t xml:space="preserve">фактически </w:t>
      </w:r>
      <w:r w:rsidR="004D7A35" w:rsidRPr="00326FC6">
        <w:rPr>
          <w:rFonts w:ascii="Times New Roman" w:hAnsi="Times New Roman"/>
          <w:sz w:val="24"/>
          <w:szCs w:val="24"/>
        </w:rPr>
        <w:t xml:space="preserve">выполненных </w:t>
      </w:r>
      <w:r w:rsidR="00EC0823" w:rsidRPr="00326FC6">
        <w:rPr>
          <w:rFonts w:ascii="Times New Roman" w:hAnsi="Times New Roman"/>
          <w:sz w:val="24"/>
          <w:szCs w:val="24"/>
        </w:rPr>
        <w:t>работ</w:t>
      </w:r>
      <w:r w:rsidR="00E21A8E" w:rsidRPr="00326FC6">
        <w:rPr>
          <w:rFonts w:ascii="Times New Roman" w:hAnsi="Times New Roman"/>
          <w:sz w:val="24"/>
          <w:szCs w:val="24"/>
        </w:rPr>
        <w:t xml:space="preserve"> (понесенных затрат)</w:t>
      </w:r>
      <w:r w:rsidR="00EC0823" w:rsidRPr="00326FC6">
        <w:rPr>
          <w:rFonts w:ascii="Times New Roman" w:hAnsi="Times New Roman"/>
          <w:sz w:val="24"/>
          <w:szCs w:val="24"/>
        </w:rPr>
        <w:t>, относимы</w:t>
      </w:r>
      <w:r w:rsidR="004D7A35" w:rsidRPr="00326FC6">
        <w:rPr>
          <w:rFonts w:ascii="Times New Roman" w:hAnsi="Times New Roman"/>
          <w:sz w:val="24"/>
          <w:szCs w:val="24"/>
        </w:rPr>
        <w:t>х</w:t>
      </w:r>
      <w:r w:rsidR="00EC0823" w:rsidRPr="00326FC6">
        <w:rPr>
          <w:rFonts w:ascii="Times New Roman" w:hAnsi="Times New Roman"/>
          <w:sz w:val="24"/>
          <w:szCs w:val="24"/>
        </w:rPr>
        <w:t xml:space="preserve"> к непредвиденным</w:t>
      </w:r>
      <w:r w:rsidR="00B05298">
        <w:rPr>
          <w:rFonts w:ascii="Times New Roman" w:hAnsi="Times New Roman"/>
          <w:sz w:val="24"/>
          <w:szCs w:val="24"/>
        </w:rPr>
        <w:t>. Определение стоимости (размера) таких работ и затрат производится в том же порядке, что и для работ и затрат, предусмотренных договором</w:t>
      </w:r>
      <w:r w:rsidR="008E02C0">
        <w:rPr>
          <w:rFonts w:ascii="Times New Roman" w:hAnsi="Times New Roman"/>
          <w:sz w:val="24"/>
          <w:szCs w:val="24"/>
        </w:rPr>
        <w:t xml:space="preserve"> (за исключением начисления лимита на непредвиденные работы и затраты)</w:t>
      </w:r>
      <w:r w:rsidR="00B05298">
        <w:rPr>
          <w:rFonts w:ascii="Times New Roman" w:hAnsi="Times New Roman"/>
          <w:sz w:val="24"/>
          <w:szCs w:val="24"/>
        </w:rPr>
        <w:t>.</w:t>
      </w:r>
    </w:p>
    <w:p w14:paraId="4C44E91D" w14:textId="6DCF9C78" w:rsidR="00BE578E" w:rsidRPr="00326FC6" w:rsidRDefault="00141247" w:rsidP="002B479F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Стоимость работ</w:t>
      </w:r>
      <w:r w:rsidR="00344E86" w:rsidRPr="00326FC6">
        <w:rPr>
          <w:rFonts w:ascii="Times New Roman" w:hAnsi="Times New Roman"/>
          <w:sz w:val="24"/>
          <w:szCs w:val="24"/>
        </w:rPr>
        <w:t>,</w:t>
      </w:r>
      <w:r w:rsidRPr="00326FC6">
        <w:rPr>
          <w:rFonts w:ascii="Times New Roman" w:hAnsi="Times New Roman"/>
          <w:sz w:val="24"/>
          <w:szCs w:val="24"/>
        </w:rPr>
        <w:t xml:space="preserve"> по которым отсутствуют расценки в </w:t>
      </w:r>
      <w:r w:rsidR="008E02C0">
        <w:rPr>
          <w:rFonts w:ascii="Times New Roman" w:hAnsi="Times New Roman"/>
          <w:i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указать сметно-нормативную базу ТЕР,ФЕР"/>
            </w:textInput>
          </w:ffData>
        </w:fldChar>
      </w:r>
      <w:r w:rsidR="008E02C0">
        <w:rPr>
          <w:rFonts w:ascii="Times New Roman" w:hAnsi="Times New Roman"/>
          <w:i/>
          <w:sz w:val="24"/>
          <w:szCs w:val="24"/>
          <w:highlight w:val="lightGray"/>
        </w:rPr>
        <w:instrText xml:space="preserve"> FORMTEXT </w:instrText>
      </w:r>
      <w:r w:rsidR="008E02C0">
        <w:rPr>
          <w:rFonts w:ascii="Times New Roman" w:hAnsi="Times New Roman"/>
          <w:i/>
          <w:sz w:val="24"/>
          <w:szCs w:val="24"/>
          <w:highlight w:val="lightGray"/>
        </w:rPr>
      </w:r>
      <w:r w:rsidR="008E02C0">
        <w:rPr>
          <w:rFonts w:ascii="Times New Roman" w:hAnsi="Times New Roman"/>
          <w:i/>
          <w:sz w:val="24"/>
          <w:szCs w:val="24"/>
          <w:highlight w:val="lightGray"/>
        </w:rPr>
        <w:fldChar w:fldCharType="separate"/>
      </w:r>
      <w:r w:rsidR="008E02C0">
        <w:rPr>
          <w:rFonts w:ascii="Times New Roman" w:hAnsi="Times New Roman"/>
          <w:i/>
          <w:noProof/>
          <w:sz w:val="24"/>
          <w:szCs w:val="24"/>
          <w:highlight w:val="lightGray"/>
        </w:rPr>
        <w:t>указать сметно-нормативную базу ТЕР,ФЕР</w:t>
      </w:r>
      <w:r w:rsidR="008E02C0">
        <w:rPr>
          <w:rFonts w:ascii="Times New Roman" w:hAnsi="Times New Roman"/>
          <w:i/>
          <w:sz w:val="24"/>
          <w:szCs w:val="24"/>
          <w:highlight w:val="lightGray"/>
        </w:rPr>
        <w:fldChar w:fldCharType="end"/>
      </w:r>
      <w:r w:rsidR="000B376C" w:rsidRPr="000B376C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0B376C" w:rsidRPr="00997B79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376C" w:rsidRPr="00326FC6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="000B376C" w:rsidRPr="00997B79">
        <w:rPr>
          <w:rFonts w:ascii="Times New Roman" w:hAnsi="Times New Roman"/>
          <w:sz w:val="24"/>
          <w:szCs w:val="24"/>
          <w:highlight w:val="lightGray"/>
        </w:rPr>
      </w:r>
      <w:r w:rsidR="000B376C" w:rsidRPr="00997B79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997B79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="00CD4FB9" w:rsidRPr="00845929">
        <w:rPr>
          <w:rFonts w:ascii="Times New Roman" w:hAnsi="Times New Roman"/>
          <w:i/>
          <w:sz w:val="24"/>
          <w:szCs w:val="24"/>
        </w:rPr>
        <w:t>,</w:t>
      </w:r>
      <w:r w:rsidR="00344E86" w:rsidRPr="00326FC6">
        <w:rPr>
          <w:rFonts w:ascii="Times New Roman" w:hAnsi="Times New Roman"/>
          <w:sz w:val="24"/>
          <w:szCs w:val="24"/>
        </w:rPr>
        <w:t xml:space="preserve"> </w:t>
      </w:r>
      <w:r w:rsidR="00CD4FB9" w:rsidRPr="00326FC6">
        <w:rPr>
          <w:rFonts w:ascii="Times New Roman" w:hAnsi="Times New Roman"/>
          <w:sz w:val="24"/>
          <w:szCs w:val="24"/>
        </w:rPr>
        <w:t xml:space="preserve">определяется </w:t>
      </w:r>
      <w:r w:rsidRPr="00326FC6">
        <w:rPr>
          <w:rFonts w:ascii="Times New Roman" w:hAnsi="Times New Roman"/>
          <w:sz w:val="24"/>
          <w:szCs w:val="24"/>
        </w:rPr>
        <w:t>по расценкам</w:t>
      </w:r>
      <w:r w:rsidR="008215BB" w:rsidRPr="00326FC6">
        <w:rPr>
          <w:rFonts w:ascii="Times New Roman" w:hAnsi="Times New Roman"/>
          <w:sz w:val="24"/>
          <w:szCs w:val="24"/>
        </w:rPr>
        <w:t xml:space="preserve"> и нормативам</w:t>
      </w:r>
      <w:r w:rsidRPr="00326FC6">
        <w:rPr>
          <w:rFonts w:ascii="Times New Roman" w:hAnsi="Times New Roman"/>
          <w:sz w:val="24"/>
          <w:szCs w:val="24"/>
        </w:rPr>
        <w:t xml:space="preserve"> </w:t>
      </w:r>
      <w:r w:rsidR="008E02C0">
        <w:rPr>
          <w:rFonts w:ascii="Times New Roman" w:hAnsi="Times New Roman"/>
          <w:i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указать сметно-нормативную базу ФЕР, ГЭСН"/>
            </w:textInput>
          </w:ffData>
        </w:fldChar>
      </w:r>
      <w:r w:rsidR="008E02C0">
        <w:rPr>
          <w:rFonts w:ascii="Times New Roman" w:hAnsi="Times New Roman"/>
          <w:i/>
          <w:sz w:val="24"/>
          <w:szCs w:val="24"/>
          <w:highlight w:val="lightGray"/>
        </w:rPr>
        <w:instrText xml:space="preserve"> FORMTEXT </w:instrText>
      </w:r>
      <w:r w:rsidR="008E02C0">
        <w:rPr>
          <w:rFonts w:ascii="Times New Roman" w:hAnsi="Times New Roman"/>
          <w:i/>
          <w:sz w:val="24"/>
          <w:szCs w:val="24"/>
          <w:highlight w:val="lightGray"/>
        </w:rPr>
      </w:r>
      <w:r w:rsidR="008E02C0">
        <w:rPr>
          <w:rFonts w:ascii="Times New Roman" w:hAnsi="Times New Roman"/>
          <w:i/>
          <w:sz w:val="24"/>
          <w:szCs w:val="24"/>
          <w:highlight w:val="lightGray"/>
        </w:rPr>
        <w:fldChar w:fldCharType="separate"/>
      </w:r>
      <w:r w:rsidR="008E02C0">
        <w:rPr>
          <w:rFonts w:ascii="Times New Roman" w:hAnsi="Times New Roman"/>
          <w:i/>
          <w:noProof/>
          <w:sz w:val="24"/>
          <w:szCs w:val="24"/>
          <w:highlight w:val="lightGray"/>
        </w:rPr>
        <w:t>указать сметно-нормативную базу ФЕР, ГЭСН</w:t>
      </w:r>
      <w:r w:rsidR="008E02C0">
        <w:rPr>
          <w:rFonts w:ascii="Times New Roman" w:hAnsi="Times New Roman"/>
          <w:i/>
          <w:sz w:val="24"/>
          <w:szCs w:val="24"/>
          <w:highlight w:val="lightGray"/>
        </w:rPr>
        <w:fldChar w:fldCharType="end"/>
      </w:r>
      <w:r w:rsidR="000B376C" w:rsidRPr="000B376C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0B376C" w:rsidRPr="00997B79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376C" w:rsidRPr="00326FC6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="000B376C" w:rsidRPr="00997B79">
        <w:rPr>
          <w:rFonts w:ascii="Times New Roman" w:hAnsi="Times New Roman"/>
          <w:sz w:val="24"/>
          <w:szCs w:val="24"/>
          <w:highlight w:val="lightGray"/>
        </w:rPr>
      </w:r>
      <w:r w:rsidR="000B376C" w:rsidRPr="00997B79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="000B376C" w:rsidRPr="00997B79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="00FD43F7" w:rsidRPr="00326FC6">
        <w:rPr>
          <w:rFonts w:ascii="Times New Roman" w:hAnsi="Times New Roman"/>
          <w:sz w:val="24"/>
          <w:szCs w:val="24"/>
        </w:rPr>
        <w:t>.</w:t>
      </w:r>
    </w:p>
    <w:p w14:paraId="51D8713A" w14:textId="73105096" w:rsidR="00CD4FB9" w:rsidRPr="00326FC6" w:rsidRDefault="00CD4FB9" w:rsidP="00845929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 xml:space="preserve">Стоимость МТР, использованных при выполнении работ, определяется в порядке, предусмотренном </w:t>
      </w:r>
      <w:r w:rsidR="004D7A35" w:rsidRPr="00326FC6">
        <w:rPr>
          <w:rFonts w:ascii="Times New Roman" w:hAnsi="Times New Roman"/>
          <w:sz w:val="24"/>
          <w:szCs w:val="24"/>
        </w:rPr>
        <w:t>П</w:t>
      </w:r>
      <w:r w:rsidRPr="00326FC6">
        <w:rPr>
          <w:rFonts w:ascii="Times New Roman" w:hAnsi="Times New Roman"/>
          <w:sz w:val="24"/>
          <w:szCs w:val="24"/>
        </w:rPr>
        <w:t>риложением № 6 к настоящему договору.</w:t>
      </w:r>
    </w:p>
    <w:p w14:paraId="1916D655" w14:textId="77777777" w:rsidR="00940DF7" w:rsidRPr="00326FC6" w:rsidRDefault="00940DF7" w:rsidP="0084592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489AF58" w14:textId="5F72D403" w:rsidR="00E21A8E" w:rsidRPr="003065D9" w:rsidRDefault="00CD4FB9" w:rsidP="00E964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noProof/>
          <w:sz w:val="24"/>
          <w:szCs w:val="24"/>
        </w:rPr>
      </w:pPr>
      <w:r w:rsidRPr="003065D9">
        <w:rPr>
          <w:rFonts w:ascii="Times New Roman" w:hAnsi="Times New Roman"/>
          <w:sz w:val="24"/>
          <w:szCs w:val="24"/>
        </w:rPr>
        <w:t xml:space="preserve">В случае </w:t>
      </w:r>
      <w:r w:rsidRPr="003065D9">
        <w:rPr>
          <w:rFonts w:ascii="Times New Roman" w:hAnsi="Times New Roman"/>
          <w:noProof/>
          <w:sz w:val="24"/>
          <w:szCs w:val="24"/>
        </w:rPr>
        <w:t xml:space="preserve">если срок выполнения работ по </w:t>
      </w:r>
      <w:r w:rsidR="00E21A8E" w:rsidRPr="003065D9">
        <w:rPr>
          <w:rFonts w:ascii="Times New Roman" w:hAnsi="Times New Roman"/>
          <w:noProof/>
          <w:sz w:val="24"/>
          <w:szCs w:val="24"/>
        </w:rPr>
        <w:t xml:space="preserve">настоящему </w:t>
      </w:r>
      <w:r w:rsidRPr="003065D9">
        <w:rPr>
          <w:rFonts w:ascii="Times New Roman" w:hAnsi="Times New Roman"/>
          <w:noProof/>
          <w:sz w:val="24"/>
          <w:szCs w:val="24"/>
        </w:rPr>
        <w:t>договору превыш</w:t>
      </w:r>
      <w:r w:rsidR="00E21A8E" w:rsidRPr="003065D9">
        <w:rPr>
          <w:rFonts w:ascii="Times New Roman" w:hAnsi="Times New Roman"/>
          <w:noProof/>
          <w:sz w:val="24"/>
          <w:szCs w:val="24"/>
        </w:rPr>
        <w:t>ает 18 (восемнадцать) месяцев:</w:t>
      </w:r>
    </w:p>
    <w:p w14:paraId="2F52A0D9" w14:textId="4F9BB49E" w:rsidR="00E96452" w:rsidRPr="00845929" w:rsidRDefault="00326FC6" w:rsidP="00845929">
      <w:pPr>
        <w:pStyle w:val="ae"/>
        <w:numPr>
          <w:ilvl w:val="1"/>
          <w:numId w:val="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noProof/>
          <w:sz w:val="24"/>
          <w:szCs w:val="24"/>
          <w:highlight w:val="lightGray"/>
        </w:rPr>
      </w:pPr>
      <w:r w:rsidRPr="003065D9">
        <w:rPr>
          <w:rFonts w:ascii="Times New Roman" w:hAnsi="Times New Roman"/>
          <w:noProof/>
          <w:sz w:val="24"/>
          <w:szCs w:val="24"/>
        </w:rPr>
        <w:t>В</w:t>
      </w:r>
      <w:r w:rsidR="00E96452" w:rsidRPr="003065D9">
        <w:rPr>
          <w:rFonts w:ascii="Times New Roman" w:hAnsi="Times New Roman"/>
          <w:sz w:val="24"/>
          <w:szCs w:val="24"/>
        </w:rPr>
        <w:t xml:space="preserve"> целях определения прогнозного уровня цен на МТР и оборудование, а также прогнозной стоимости выполненных работ, при заключении договора в</w:t>
      </w:r>
      <w:r w:rsidR="00E96452" w:rsidRPr="00845929">
        <w:rPr>
          <w:rFonts w:ascii="Times New Roman" w:hAnsi="Times New Roman"/>
          <w:sz w:val="24"/>
          <w:szCs w:val="24"/>
        </w:rPr>
        <w:t xml:space="preserve"> расчете цены </w:t>
      </w:r>
      <w:r w:rsidR="00CD4FB9" w:rsidRPr="00845929">
        <w:rPr>
          <w:rFonts w:ascii="Times New Roman" w:hAnsi="Times New Roman"/>
          <w:sz w:val="24"/>
          <w:szCs w:val="24"/>
        </w:rPr>
        <w:t xml:space="preserve">(Приложение № 2) </w:t>
      </w:r>
      <w:r w:rsidR="00E96452" w:rsidRPr="00845929">
        <w:rPr>
          <w:rFonts w:ascii="Times New Roman" w:hAnsi="Times New Roman"/>
          <w:sz w:val="24"/>
          <w:szCs w:val="24"/>
        </w:rPr>
        <w:t>предусм</w:t>
      </w:r>
      <w:r w:rsidR="00CD4FB9" w:rsidRPr="00845929">
        <w:rPr>
          <w:rFonts w:ascii="Times New Roman" w:hAnsi="Times New Roman"/>
          <w:sz w:val="24"/>
          <w:szCs w:val="24"/>
        </w:rPr>
        <w:t>о</w:t>
      </w:r>
      <w:r w:rsidR="00E96452" w:rsidRPr="00845929">
        <w:rPr>
          <w:rFonts w:ascii="Times New Roman" w:hAnsi="Times New Roman"/>
          <w:sz w:val="24"/>
          <w:szCs w:val="24"/>
        </w:rPr>
        <w:t>тр</w:t>
      </w:r>
      <w:r w:rsidR="00CD4FB9" w:rsidRPr="00845929">
        <w:rPr>
          <w:rFonts w:ascii="Times New Roman" w:hAnsi="Times New Roman"/>
          <w:sz w:val="24"/>
          <w:szCs w:val="24"/>
        </w:rPr>
        <w:t>ены</w:t>
      </w:r>
      <w:r w:rsidR="00E96452" w:rsidRPr="00845929">
        <w:rPr>
          <w:rFonts w:ascii="Times New Roman" w:hAnsi="Times New Roman"/>
          <w:sz w:val="24"/>
          <w:szCs w:val="24"/>
        </w:rPr>
        <w:t>:</w:t>
      </w:r>
      <w:r w:rsidR="00E96452" w:rsidRPr="00845929">
        <w:rPr>
          <w:rFonts w:ascii="Times New Roman" w:hAnsi="Times New Roman"/>
          <w:noProof/>
          <w:sz w:val="24"/>
          <w:szCs w:val="24"/>
          <w:highlight w:val="lightGray"/>
        </w:rPr>
        <w:t xml:space="preserve"> </w:t>
      </w:r>
    </w:p>
    <w:p w14:paraId="032AE0D1" w14:textId="77777777" w:rsidR="00E96452" w:rsidRPr="00845929" w:rsidRDefault="00E96452" w:rsidP="00845929">
      <w:pPr>
        <w:spacing w:before="120"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  <w:r w:rsidRPr="00845929">
        <w:rPr>
          <w:rFonts w:ascii="Times New Roman" w:hAnsi="Times New Roman"/>
          <w:noProof/>
          <w:sz w:val="24"/>
          <w:szCs w:val="24"/>
        </w:rPr>
        <w:t>Индекс-дефлятор для СМР, ПНР без учета стоимости МТР и оборудования</w:t>
      </w:r>
      <w:r w:rsidRPr="00845929">
        <w:t xml:space="preserve"> </w:t>
      </w:r>
      <w:r w:rsidRPr="00845929">
        <w:rPr>
          <w:rFonts w:ascii="Times New Roman" w:hAnsi="Times New Roman"/>
          <w:noProof/>
          <w:sz w:val="24"/>
          <w:szCs w:val="24"/>
        </w:rPr>
        <w:t xml:space="preserve">(для приведения к текущему уровню цен) </w:t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 (заполняется Заказчиком, соответствует индексу-дефлятору, указанному в закупке, по результатам которой заключается договор)"/>
            </w:textInput>
          </w:ffData>
        </w:fldChar>
      </w:r>
      <w:r w:rsidRPr="00845929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Pr="00845929">
        <w:rPr>
          <w:rFonts w:ascii="Times New Roman" w:hAnsi="Times New Roman"/>
          <w:bCs/>
          <w:i/>
          <w:sz w:val="24"/>
          <w:szCs w:val="24"/>
        </w:rPr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Pr="00845929">
        <w:rPr>
          <w:rFonts w:ascii="Times New Roman" w:hAnsi="Times New Roman"/>
          <w:bCs/>
          <w:i/>
          <w:noProof/>
          <w:sz w:val="24"/>
          <w:szCs w:val="24"/>
        </w:rPr>
        <w:t>___ (заполняется Заказчиком, соответствует индексу-дефлятору, указанному в закупке, по результатам которой заключается договор)</w:t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end"/>
      </w:r>
      <w:r w:rsidRPr="00845929">
        <w:rPr>
          <w:rFonts w:ascii="Times New Roman" w:hAnsi="Times New Roman"/>
          <w:noProof/>
          <w:sz w:val="24"/>
          <w:szCs w:val="24"/>
        </w:rPr>
        <w:t>;</w:t>
      </w:r>
    </w:p>
    <w:p w14:paraId="48CA9C1B" w14:textId="77777777" w:rsidR="00E96452" w:rsidRPr="00845929" w:rsidRDefault="00E96452" w:rsidP="00845929">
      <w:pPr>
        <w:spacing w:before="120" w:after="0" w:line="240" w:lineRule="auto"/>
        <w:ind w:left="709"/>
        <w:jc w:val="both"/>
        <w:rPr>
          <w:rFonts w:ascii="Times New Roman" w:hAnsi="Times New Roman"/>
          <w:i/>
          <w:noProof/>
          <w:sz w:val="24"/>
          <w:szCs w:val="24"/>
        </w:rPr>
      </w:pPr>
      <w:r w:rsidRPr="00845929">
        <w:rPr>
          <w:rFonts w:ascii="Times New Roman" w:hAnsi="Times New Roman"/>
          <w:noProof/>
          <w:sz w:val="24"/>
          <w:szCs w:val="24"/>
        </w:rPr>
        <w:t xml:space="preserve">Индекс-дефлятор для МТР (для приведения к текущему уровню цен) - </w:t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 (заполняется Заказчиком, соответствует индексу- дефлятору, указанному в закупочной документации, по результатам которой заключается договор)"/>
            </w:textInput>
          </w:ffData>
        </w:fldChar>
      </w:r>
      <w:r w:rsidRPr="00845929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Pr="00845929">
        <w:rPr>
          <w:rFonts w:ascii="Times New Roman" w:hAnsi="Times New Roman"/>
          <w:bCs/>
          <w:i/>
          <w:sz w:val="24"/>
          <w:szCs w:val="24"/>
        </w:rPr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Pr="00845929">
        <w:rPr>
          <w:rFonts w:ascii="Times New Roman" w:hAnsi="Times New Roman"/>
          <w:bCs/>
          <w:i/>
          <w:noProof/>
          <w:sz w:val="24"/>
          <w:szCs w:val="24"/>
        </w:rPr>
        <w:t>___ (заполняется Заказчиком, соответствует индексу- дефлятору, указанному в закупочной документации, по результатам которой заключается договор)</w:t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end"/>
      </w:r>
      <w:r w:rsidRPr="00845929">
        <w:rPr>
          <w:rFonts w:ascii="Times New Roman" w:hAnsi="Times New Roman"/>
          <w:i/>
          <w:noProof/>
          <w:sz w:val="24"/>
          <w:szCs w:val="24"/>
        </w:rPr>
        <w:t>;</w:t>
      </w:r>
    </w:p>
    <w:p w14:paraId="14676962" w14:textId="77777777" w:rsidR="00E96452" w:rsidRPr="00845929" w:rsidRDefault="00E96452" w:rsidP="00845929">
      <w:pPr>
        <w:spacing w:before="120"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  <w:r w:rsidRPr="00845929">
        <w:rPr>
          <w:rFonts w:ascii="Times New Roman" w:hAnsi="Times New Roman"/>
          <w:noProof/>
          <w:sz w:val="24"/>
          <w:szCs w:val="24"/>
        </w:rPr>
        <w:t xml:space="preserve">Индекс-дефлятор для оборудования (для приведения к текущему уровню цен) - </w:t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 (заполняется Заказчиком, соответствует индексу-дефлятору, указанному в закупке, по результатам которой заключается договор)"/>
            </w:textInput>
          </w:ffData>
        </w:fldChar>
      </w:r>
      <w:r w:rsidRPr="00845929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Pr="00845929">
        <w:rPr>
          <w:rFonts w:ascii="Times New Roman" w:hAnsi="Times New Roman"/>
          <w:bCs/>
          <w:i/>
          <w:sz w:val="24"/>
          <w:szCs w:val="24"/>
        </w:rPr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Pr="00845929">
        <w:rPr>
          <w:rFonts w:ascii="Times New Roman" w:hAnsi="Times New Roman"/>
          <w:bCs/>
          <w:i/>
          <w:noProof/>
          <w:sz w:val="24"/>
          <w:szCs w:val="24"/>
        </w:rPr>
        <w:t>___ (заполняется Заказчиком, соответствует индексу-дефлятору, указанному в закупке, по результатам которой заключается договор)</w:t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end"/>
      </w:r>
      <w:r w:rsidRPr="00845929">
        <w:rPr>
          <w:rFonts w:ascii="Times New Roman" w:hAnsi="Times New Roman"/>
          <w:i/>
          <w:noProof/>
          <w:sz w:val="24"/>
          <w:szCs w:val="24"/>
        </w:rPr>
        <w:t>;</w:t>
      </w:r>
    </w:p>
    <w:p w14:paraId="1DB504AD" w14:textId="77777777" w:rsidR="005E2970" w:rsidRPr="00845929" w:rsidRDefault="00E96452" w:rsidP="00845929">
      <w:pPr>
        <w:spacing w:before="120" w:after="0" w:line="240" w:lineRule="auto"/>
        <w:ind w:left="709"/>
        <w:jc w:val="both"/>
        <w:rPr>
          <w:rFonts w:ascii="Times New Roman" w:hAnsi="Times New Roman"/>
          <w:i/>
          <w:noProof/>
          <w:sz w:val="24"/>
          <w:szCs w:val="24"/>
        </w:rPr>
      </w:pPr>
      <w:r w:rsidRPr="00845929">
        <w:rPr>
          <w:rFonts w:ascii="Times New Roman" w:hAnsi="Times New Roman"/>
          <w:noProof/>
          <w:sz w:val="24"/>
          <w:szCs w:val="24"/>
        </w:rPr>
        <w:t xml:space="preserve">Индекс-дефлятор для строительных ресурсов, учтенных на основании прейскурантов, коммерческих предложений (для приведения к текущему уровню цен) - </w:t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 (заполняется Заказчиком, соответствует индексу-дефлятору, указанному в закупке, по результатам которой заключается договор)"/>
            </w:textInput>
          </w:ffData>
        </w:fldChar>
      </w:r>
      <w:r w:rsidRPr="00845929">
        <w:rPr>
          <w:rFonts w:ascii="Times New Roman" w:hAnsi="Times New Roman"/>
          <w:bCs/>
          <w:i/>
          <w:sz w:val="24"/>
          <w:szCs w:val="24"/>
        </w:rPr>
        <w:instrText xml:space="preserve"> FORMTEXT </w:instrText>
      </w:r>
      <w:r w:rsidRPr="00845929">
        <w:rPr>
          <w:rFonts w:ascii="Times New Roman" w:hAnsi="Times New Roman"/>
          <w:bCs/>
          <w:i/>
          <w:sz w:val="24"/>
          <w:szCs w:val="24"/>
        </w:rPr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separate"/>
      </w:r>
      <w:r w:rsidRPr="00845929">
        <w:rPr>
          <w:rFonts w:ascii="Times New Roman" w:hAnsi="Times New Roman"/>
          <w:bCs/>
          <w:i/>
          <w:noProof/>
          <w:sz w:val="24"/>
          <w:szCs w:val="24"/>
        </w:rPr>
        <w:t>___ (заполняется Заказчиком, соответствует индексу-дефлятору, указанному в закупке, по результатам которой заключается договор)</w:t>
      </w:r>
      <w:r w:rsidRPr="00845929">
        <w:rPr>
          <w:rFonts w:ascii="Times New Roman" w:hAnsi="Times New Roman"/>
          <w:bCs/>
          <w:i/>
          <w:sz w:val="24"/>
          <w:szCs w:val="24"/>
        </w:rPr>
        <w:fldChar w:fldCharType="end"/>
      </w:r>
      <w:r w:rsidRPr="00845929">
        <w:rPr>
          <w:rFonts w:ascii="Times New Roman" w:hAnsi="Times New Roman"/>
          <w:i/>
          <w:noProof/>
          <w:sz w:val="24"/>
          <w:szCs w:val="24"/>
          <w:highlight w:val="lightGray"/>
        </w:rPr>
        <w:t>.</w:t>
      </w:r>
      <w:r w:rsidRPr="00845929" w:rsidDel="003D5AC4">
        <w:rPr>
          <w:rFonts w:ascii="Times New Roman" w:hAnsi="Times New Roman"/>
          <w:i/>
          <w:noProof/>
          <w:sz w:val="24"/>
          <w:szCs w:val="24"/>
          <w:highlight w:val="lightGray"/>
        </w:rPr>
        <w:t xml:space="preserve"> </w:t>
      </w:r>
    </w:p>
    <w:p w14:paraId="67F44F63" w14:textId="50ED00EC" w:rsidR="00E21A8E" w:rsidRPr="00845929" w:rsidRDefault="00E21A8E" w:rsidP="00845929">
      <w:pPr>
        <w:spacing w:before="120" w:after="0" w:line="240" w:lineRule="auto"/>
        <w:ind w:left="709"/>
        <w:jc w:val="both"/>
        <w:rPr>
          <w:rFonts w:ascii="Times New Roman" w:hAnsi="Times New Roman"/>
          <w:i/>
          <w:noProof/>
          <w:sz w:val="24"/>
          <w:szCs w:val="24"/>
        </w:rPr>
      </w:pPr>
      <w:r w:rsidRPr="00845929">
        <w:rPr>
          <w:rFonts w:ascii="Times New Roman" w:hAnsi="Times New Roman"/>
          <w:noProof/>
          <w:sz w:val="24"/>
          <w:szCs w:val="24"/>
        </w:rPr>
        <w:t>Указанные в настоящем пункте индексы-дефляторы применются исключительно для целей определения прогнозного уровня цены договора</w:t>
      </w:r>
      <w:r w:rsidR="005E2970" w:rsidRPr="00845929">
        <w:rPr>
          <w:rFonts w:ascii="Times New Roman" w:hAnsi="Times New Roman"/>
          <w:noProof/>
          <w:sz w:val="24"/>
          <w:szCs w:val="24"/>
        </w:rPr>
        <w:t xml:space="preserve"> при его заключении</w:t>
      </w:r>
      <w:r w:rsidRPr="0084592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1C91A65D" w14:textId="6C29F7E6" w:rsidR="00326FC6" w:rsidRPr="00845929" w:rsidRDefault="00326FC6" w:rsidP="00845929">
      <w:pPr>
        <w:pStyle w:val="ae"/>
        <w:numPr>
          <w:ilvl w:val="1"/>
          <w:numId w:val="1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E2970" w:rsidRPr="00845929">
        <w:rPr>
          <w:rFonts w:ascii="Times New Roman" w:hAnsi="Times New Roman"/>
          <w:sz w:val="24"/>
          <w:szCs w:val="24"/>
        </w:rPr>
        <w:t>ри приемке</w:t>
      </w:r>
      <w:r>
        <w:rPr>
          <w:rFonts w:ascii="Times New Roman" w:hAnsi="Times New Roman"/>
          <w:sz w:val="24"/>
          <w:szCs w:val="24"/>
        </w:rPr>
        <w:t xml:space="preserve"> выполненных </w:t>
      </w:r>
      <w:r w:rsidR="00A06BCC">
        <w:rPr>
          <w:rFonts w:ascii="Times New Roman" w:hAnsi="Times New Roman"/>
          <w:sz w:val="24"/>
          <w:szCs w:val="24"/>
        </w:rPr>
        <w:t xml:space="preserve">Подрядчиком </w:t>
      </w:r>
      <w:r>
        <w:rPr>
          <w:rFonts w:ascii="Times New Roman" w:hAnsi="Times New Roman"/>
          <w:sz w:val="24"/>
          <w:szCs w:val="24"/>
        </w:rPr>
        <w:t>работ</w:t>
      </w:r>
      <w:r w:rsidR="00E21A8E" w:rsidRPr="00845929">
        <w:rPr>
          <w:rFonts w:ascii="Times New Roman" w:hAnsi="Times New Roman"/>
          <w:noProof/>
          <w:sz w:val="24"/>
          <w:szCs w:val="24"/>
        </w:rPr>
        <w:t xml:space="preserve">, начиная со 2-года строительства </w:t>
      </w:r>
      <w:r w:rsidR="00E96452" w:rsidRPr="00845929">
        <w:rPr>
          <w:rFonts w:ascii="Times New Roman" w:hAnsi="Times New Roman"/>
          <w:noProof/>
          <w:sz w:val="24"/>
          <w:szCs w:val="24"/>
        </w:rPr>
        <w:t>(с первого календарного месяца 5-го квартала производства работ), применяется индекс-дефлятор из актуального на дату приемки работ Прогноза Минэкономразвития РФ (базовый вариант), опубликованного на сайте Минэкономразвития РФ по строке «Строительство», Приложение «Дефляторы базовый»</w:t>
      </w:r>
      <w:r w:rsidR="00E96452" w:rsidRPr="00845929">
        <w:rPr>
          <w:rFonts w:ascii="Times New Roman" w:hAnsi="Times New Roman"/>
          <w:sz w:val="28"/>
          <w:szCs w:val="28"/>
        </w:rPr>
        <w:t xml:space="preserve"> </w:t>
      </w:r>
      <w:r w:rsidR="00E96452" w:rsidRPr="00845929">
        <w:rPr>
          <w:rFonts w:ascii="Times New Roman" w:hAnsi="Times New Roman"/>
          <w:sz w:val="24"/>
          <w:szCs w:val="24"/>
        </w:rPr>
        <w:lastRenderedPageBreak/>
        <w:t>(</w:t>
      </w:r>
      <w:hyperlink r:id="rId8" w:history="1">
        <w:r w:rsidR="00E96452" w:rsidRPr="00845929">
          <w:rPr>
            <w:rFonts w:ascii="Times New Roman" w:hAnsi="Times New Roman"/>
            <w:sz w:val="24"/>
            <w:szCs w:val="24"/>
            <w:u w:val="single"/>
          </w:rPr>
          <w:t>https://www.economy.gov.ru/material/directions/makroec/prognozy_socialno_ekonomicheskogo_razvitiya/</w:t>
        </w:r>
      </w:hyperlink>
      <w:r w:rsidR="00E96452" w:rsidRPr="00845929">
        <w:rPr>
          <w:rFonts w:ascii="Times New Roman" w:hAnsi="Times New Roman"/>
          <w:sz w:val="24"/>
          <w:szCs w:val="24"/>
        </w:rPr>
        <w:t>).</w:t>
      </w:r>
      <w:r w:rsidR="00E96452" w:rsidRPr="00845929">
        <w:rPr>
          <w:sz w:val="24"/>
          <w:szCs w:val="24"/>
        </w:rPr>
        <w:t xml:space="preserve"> </w:t>
      </w:r>
    </w:p>
    <w:p w14:paraId="75C046D7" w14:textId="77777777" w:rsidR="00326FC6" w:rsidRPr="00845929" w:rsidRDefault="00E96452" w:rsidP="00845929">
      <w:pPr>
        <w:pStyle w:val="ae"/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5929">
        <w:rPr>
          <w:rFonts w:ascii="Times New Roman" w:hAnsi="Times New Roman"/>
          <w:sz w:val="24"/>
          <w:szCs w:val="24"/>
        </w:rPr>
        <w:t xml:space="preserve">Индекс-дефлятор применяется к стоимости работ, включая </w:t>
      </w:r>
      <w:r w:rsidR="00326FC6" w:rsidRPr="00845929">
        <w:rPr>
          <w:rFonts w:ascii="Times New Roman" w:hAnsi="Times New Roman"/>
          <w:sz w:val="24"/>
          <w:szCs w:val="24"/>
        </w:rPr>
        <w:t>П</w:t>
      </w:r>
      <w:r w:rsidRPr="00845929">
        <w:rPr>
          <w:rFonts w:ascii="Times New Roman" w:hAnsi="Times New Roman"/>
          <w:sz w:val="24"/>
          <w:szCs w:val="24"/>
        </w:rPr>
        <w:t xml:space="preserve">рочие работы и затраты </w:t>
      </w:r>
      <w:r w:rsidR="00326FC6" w:rsidRPr="00845929">
        <w:rPr>
          <w:rFonts w:ascii="Times New Roman" w:hAnsi="Times New Roman"/>
          <w:sz w:val="24"/>
          <w:szCs w:val="24"/>
        </w:rPr>
        <w:t>(</w:t>
      </w:r>
      <w:r w:rsidRPr="00845929">
        <w:rPr>
          <w:rFonts w:ascii="Times New Roman" w:hAnsi="Times New Roman"/>
          <w:sz w:val="24"/>
          <w:szCs w:val="24"/>
        </w:rPr>
        <w:t xml:space="preserve">без учета </w:t>
      </w:r>
      <w:r w:rsidRPr="00845929">
        <w:rPr>
          <w:rFonts w:ascii="Times New Roman" w:hAnsi="Times New Roman"/>
          <w:noProof/>
          <w:sz w:val="24"/>
          <w:szCs w:val="24"/>
        </w:rPr>
        <w:t>стоимости МТР и оборудования</w:t>
      </w:r>
      <w:r w:rsidR="00326FC6" w:rsidRPr="00845929">
        <w:rPr>
          <w:rFonts w:ascii="Times New Roman" w:hAnsi="Times New Roman"/>
          <w:noProof/>
          <w:sz w:val="24"/>
          <w:szCs w:val="24"/>
        </w:rPr>
        <w:t>)</w:t>
      </w:r>
      <w:r w:rsidRPr="00845929">
        <w:rPr>
          <w:rFonts w:ascii="Times New Roman" w:hAnsi="Times New Roman"/>
          <w:noProof/>
          <w:sz w:val="24"/>
          <w:szCs w:val="24"/>
        </w:rPr>
        <w:t>,</w:t>
      </w:r>
      <w:r w:rsidRPr="00845929">
        <w:rPr>
          <w:rFonts w:ascii="Times New Roman" w:hAnsi="Times New Roman"/>
          <w:sz w:val="24"/>
          <w:szCs w:val="24"/>
        </w:rPr>
        <w:t xml:space="preserve"> исчисленной с учетом </w:t>
      </w:r>
      <w:r w:rsidR="00326FC6" w:rsidRPr="00845929">
        <w:rPr>
          <w:rFonts w:ascii="Times New Roman" w:hAnsi="Times New Roman"/>
          <w:sz w:val="24"/>
          <w:szCs w:val="24"/>
        </w:rPr>
        <w:t xml:space="preserve">индексов </w:t>
      </w:r>
      <w:r w:rsidR="00326FC6" w:rsidRPr="00326FC6">
        <w:rPr>
          <w:rFonts w:ascii="Times New Roman" w:hAnsi="Times New Roman"/>
          <w:sz w:val="24"/>
          <w:szCs w:val="24"/>
        </w:rPr>
        <w:t>изменения сметной стоимости к сметно-нормативной базе</w:t>
      </w:r>
      <w:r w:rsidRPr="00845929">
        <w:rPr>
          <w:rFonts w:ascii="Times New Roman" w:hAnsi="Times New Roman"/>
          <w:sz w:val="24"/>
          <w:szCs w:val="24"/>
        </w:rPr>
        <w:t>, предусмотренн</w:t>
      </w:r>
      <w:r w:rsidR="00326FC6" w:rsidRPr="00845929">
        <w:rPr>
          <w:rFonts w:ascii="Times New Roman" w:hAnsi="Times New Roman"/>
          <w:sz w:val="24"/>
          <w:szCs w:val="24"/>
        </w:rPr>
        <w:t>ых</w:t>
      </w:r>
      <w:r w:rsidRPr="00845929">
        <w:rPr>
          <w:rFonts w:ascii="Times New Roman" w:hAnsi="Times New Roman"/>
          <w:sz w:val="24"/>
          <w:szCs w:val="24"/>
        </w:rPr>
        <w:t xml:space="preserve"> п. </w:t>
      </w:r>
      <w:r w:rsidR="00326FC6" w:rsidRPr="00845929">
        <w:rPr>
          <w:rFonts w:ascii="Times New Roman" w:hAnsi="Times New Roman"/>
          <w:sz w:val="24"/>
          <w:szCs w:val="24"/>
        </w:rPr>
        <w:t>3</w:t>
      </w:r>
      <w:r w:rsidRPr="00845929">
        <w:rPr>
          <w:rFonts w:ascii="Times New Roman" w:hAnsi="Times New Roman"/>
          <w:sz w:val="24"/>
          <w:szCs w:val="24"/>
        </w:rPr>
        <w:t xml:space="preserve"> выше. </w:t>
      </w:r>
    </w:p>
    <w:p w14:paraId="2FEE45FF" w14:textId="6C6A8DBB" w:rsidR="00E96452" w:rsidRPr="00845929" w:rsidRDefault="00E96452" w:rsidP="00845929">
      <w:pPr>
        <w:pStyle w:val="ae"/>
        <w:spacing w:before="120"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  <w:r w:rsidRPr="00845929">
        <w:rPr>
          <w:rFonts w:ascii="Times New Roman" w:hAnsi="Times New Roman"/>
          <w:sz w:val="24"/>
          <w:szCs w:val="24"/>
        </w:rPr>
        <w:t>Индекс-дефлятор применяется накопительным итогом, начиная с квартала, следующего за кварталом начала строительства и до квартала, в котором производится индексация стоимости работ, включительно.</w:t>
      </w:r>
    </w:p>
    <w:p w14:paraId="630013D6" w14:textId="77777777" w:rsidR="00E96452" w:rsidRPr="00845929" w:rsidRDefault="00E96452" w:rsidP="00E96452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929">
        <w:rPr>
          <w:rFonts w:ascii="Times New Roman" w:hAnsi="Times New Roman"/>
          <w:sz w:val="24"/>
          <w:szCs w:val="24"/>
        </w:rPr>
        <w:t xml:space="preserve">Индекс-дефлятор на один квартал каждого календарного года определяется как корень четвертой степени из годового значения индекса-дефлятора. Для определения размера индекса-дефлятора для периода в несколько кварталов календарного года величина индекса-дефлятора, рассчитанная на один квартал такого календарного года, возводится в степень, размер которой соответствует количеству кварталов в данном периоде. </w:t>
      </w:r>
    </w:p>
    <w:p w14:paraId="1505EE88" w14:textId="77777777" w:rsidR="00E96452" w:rsidRPr="00845929" w:rsidRDefault="00E96452" w:rsidP="00E96452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929">
        <w:rPr>
          <w:rFonts w:ascii="Times New Roman" w:hAnsi="Times New Roman"/>
          <w:sz w:val="24"/>
          <w:szCs w:val="24"/>
        </w:rPr>
        <w:t>В случае просрочки сроков выполнения работ по вине подрядчика индексация, предусмотренная настоящим пунктом, к просроченной части работ не применяется.</w:t>
      </w:r>
    </w:p>
    <w:p w14:paraId="56A22E14" w14:textId="77777777" w:rsidR="00E96452" w:rsidRPr="00845929" w:rsidRDefault="00E96452" w:rsidP="00E96452">
      <w:pPr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  <w:r w:rsidRPr="00845929">
        <w:rPr>
          <w:rFonts w:ascii="Times New Roman" w:hAnsi="Times New Roman"/>
          <w:noProof/>
          <w:sz w:val="24"/>
          <w:szCs w:val="24"/>
        </w:rPr>
        <w:t>Для определения стоимости строительных ресурсов, принятых на основании прейскурантов, коммерческих предложений и иных обоснований, подлежит применениню индекс цен производителей из актуального на дату приемки работ Прогноза Минэкономразвития РФ (базовый вариант), опубликованного на сайте Минэкономразвития РФ по строке "Строительство", Приложение «Дефляторы базовый» (</w:t>
      </w:r>
      <w:hyperlink r:id="rId9" w:history="1">
        <w:r w:rsidRPr="00845929">
          <w:rPr>
            <w:rStyle w:val="af"/>
            <w:rFonts w:ascii="Times New Roman" w:hAnsi="Times New Roman"/>
            <w:noProof/>
            <w:color w:val="auto"/>
            <w:sz w:val="24"/>
            <w:szCs w:val="24"/>
          </w:rPr>
          <w:t>https://www.economy.gov.ru/material/directions/makroec/prognozy_socialno_ekonomicheskogo_razvitiya/</w:t>
        </w:r>
      </w:hyperlink>
      <w:r w:rsidRPr="00845929">
        <w:rPr>
          <w:rFonts w:ascii="Times New Roman" w:hAnsi="Times New Roman"/>
          <w:noProof/>
          <w:sz w:val="24"/>
          <w:szCs w:val="24"/>
        </w:rPr>
        <w:t>) в порядке, аналогичном указанному выше в настоящем пункте для приемки работ.</w:t>
      </w:r>
    </w:p>
    <w:p w14:paraId="20BBDE2D" w14:textId="6C8960B8" w:rsidR="00F763A8" w:rsidRPr="00F763A8" w:rsidRDefault="005E2970" w:rsidP="00F763A8">
      <w:pPr>
        <w:pStyle w:val="ae"/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Определение подлежащего компенсации размера непредвиденных затрат, а также стоимости работ по устройству/демонтажу лежневого настила при приемке выполненных работ осуществляется с применением индексов-дефляторов в порядке, аналогичном предусмотренному в п. 1</w:t>
      </w:r>
      <w:r w:rsidR="008E02C0">
        <w:rPr>
          <w:rFonts w:ascii="Times New Roman" w:hAnsi="Times New Roman"/>
          <w:sz w:val="24"/>
          <w:szCs w:val="24"/>
        </w:rPr>
        <w:t>2</w:t>
      </w:r>
      <w:r w:rsidRPr="00326FC6">
        <w:rPr>
          <w:rFonts w:ascii="Times New Roman" w:hAnsi="Times New Roman"/>
          <w:sz w:val="24"/>
          <w:szCs w:val="24"/>
        </w:rPr>
        <w:t>.2 настоящего приложения.</w:t>
      </w:r>
    </w:p>
    <w:p w14:paraId="6DD35E66" w14:textId="3D2FCD3B" w:rsidR="00326FC6" w:rsidRPr="00845929" w:rsidRDefault="00F763A8" w:rsidP="00845929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В случае возникновения разногласий в отношении определения стоимости выполненных Подрядчиком работ, а также при определении стоимости дополнительных работ"/>
            </w:textInput>
          </w:ffData>
        </w:fldChar>
      </w:r>
      <w:r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>
        <w:rPr>
          <w:rFonts w:ascii="Times New Roman" w:hAnsi="Times New Roman"/>
          <w:noProof/>
          <w:sz w:val="24"/>
          <w:szCs w:val="24"/>
          <w:highlight w:val="lightGray"/>
        </w:rPr>
        <w:t>В случае возникновения разногласий в отношении определения стоимости выполненных Подрядчиком работ, а также при определении стоимости дополнительных работ</w:t>
      </w:r>
      <w:r>
        <w:rPr>
          <w:rFonts w:ascii="Times New Roman" w:hAnsi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="00645102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стороны руководствуются Методическими указаниями Компании «Корпоративные разъяснения по вопросам ценообразования в строительстве» № П2-01 М-0106."/>
            </w:textInput>
          </w:ffData>
        </w:fldChar>
      </w:r>
      <w:r w:rsidR="00645102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="00645102">
        <w:rPr>
          <w:rFonts w:ascii="Times New Roman" w:hAnsi="Times New Roman"/>
          <w:sz w:val="24"/>
          <w:szCs w:val="24"/>
          <w:highlight w:val="lightGray"/>
        </w:rPr>
      </w:r>
      <w:r w:rsidR="00645102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="00645102">
        <w:rPr>
          <w:rFonts w:ascii="Times New Roman" w:hAnsi="Times New Roman"/>
          <w:noProof/>
          <w:sz w:val="24"/>
          <w:szCs w:val="24"/>
          <w:highlight w:val="lightGray"/>
        </w:rPr>
        <w:t>стороны руководствуются Методическими указаниями Компании «Корпоративные разъяснения по вопросам ценообразования в строительстве» № П2-01 М-0106.</w:t>
      </w:r>
      <w:r w:rsidR="00645102">
        <w:rPr>
          <w:rFonts w:ascii="Times New Roman" w:hAnsi="Times New Roman"/>
          <w:sz w:val="24"/>
          <w:szCs w:val="24"/>
          <w:highlight w:val="lightGray"/>
        </w:rPr>
        <w:fldChar w:fldCharType="end"/>
      </w:r>
    </w:p>
    <w:p w14:paraId="1C292FEE" w14:textId="6040D298" w:rsidR="006C51AE" w:rsidRPr="00326FC6" w:rsidRDefault="00A06BCC" w:rsidP="00845929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845929">
        <w:rPr>
          <w:rFonts w:ascii="Times New Roman" w:hAnsi="Times New Roman"/>
          <w:color w:val="FF0000"/>
          <w:sz w:val="24"/>
          <w:szCs w:val="24"/>
          <w:highlight w:val="lightGray"/>
        </w:rPr>
        <w:fldChar w:fldCharType="begin">
          <w:ffData>
            <w:name w:val="ТекстовоеПоле822"/>
            <w:enabled/>
            <w:calcOnExit w:val="0"/>
            <w:textInput>
              <w:default w:val="(Ссылка на другие изменения в сметно-нормативной базе, директивные письма Компании) - заполнить, если необходимо, с указанием видов работ/затрат, в отношении которых они применяются"/>
            </w:textInput>
          </w:ffData>
        </w:fldChar>
      </w:r>
      <w:r w:rsidRPr="00845929">
        <w:rPr>
          <w:rFonts w:ascii="Times New Roman" w:hAnsi="Times New Roman"/>
          <w:color w:val="FF0000"/>
          <w:sz w:val="24"/>
          <w:szCs w:val="24"/>
          <w:highlight w:val="lightGray"/>
        </w:rPr>
        <w:instrText xml:space="preserve"> </w:instrText>
      </w:r>
      <w:bookmarkStart w:id="4" w:name="ТекстовоеПоле822"/>
      <w:r w:rsidRPr="00845929">
        <w:rPr>
          <w:rFonts w:ascii="Times New Roman" w:hAnsi="Times New Roman"/>
          <w:color w:val="FF0000"/>
          <w:sz w:val="24"/>
          <w:szCs w:val="24"/>
          <w:highlight w:val="lightGray"/>
        </w:rPr>
        <w:instrText xml:space="preserve">FORMTEXT </w:instrText>
      </w:r>
      <w:r w:rsidRPr="00845929">
        <w:rPr>
          <w:rFonts w:ascii="Times New Roman" w:hAnsi="Times New Roman"/>
          <w:color w:val="FF0000"/>
          <w:sz w:val="24"/>
          <w:szCs w:val="24"/>
          <w:highlight w:val="lightGray"/>
        </w:rPr>
      </w:r>
      <w:r w:rsidRPr="00845929">
        <w:rPr>
          <w:rFonts w:ascii="Times New Roman" w:hAnsi="Times New Roman"/>
          <w:color w:val="FF0000"/>
          <w:sz w:val="24"/>
          <w:szCs w:val="24"/>
          <w:highlight w:val="lightGray"/>
        </w:rPr>
        <w:fldChar w:fldCharType="separate"/>
      </w:r>
      <w:r w:rsidRPr="00845929">
        <w:rPr>
          <w:rFonts w:ascii="Times New Roman" w:hAnsi="Times New Roman"/>
          <w:noProof/>
          <w:color w:val="FF0000"/>
          <w:sz w:val="24"/>
          <w:szCs w:val="24"/>
          <w:highlight w:val="lightGray"/>
        </w:rPr>
        <w:t>(Ссылка на другие изменения в сметно-нормативной базе, директивные письма Компании) - заполнить, если необходимо, с указанием видов работ/затрат, в отношении которых они применяются</w:t>
      </w:r>
      <w:r w:rsidRPr="00845929">
        <w:rPr>
          <w:rFonts w:ascii="Times New Roman" w:hAnsi="Times New Roman"/>
          <w:color w:val="FF0000"/>
          <w:sz w:val="24"/>
          <w:szCs w:val="24"/>
          <w:highlight w:val="lightGray"/>
        </w:rPr>
        <w:fldChar w:fldCharType="end"/>
      </w:r>
      <w:bookmarkEnd w:id="4"/>
    </w:p>
    <w:p w14:paraId="73208803" w14:textId="3F2E2ABC" w:rsidR="00EF4D1A" w:rsidRPr="00326FC6" w:rsidRDefault="00E21A8E" w:rsidP="00845929">
      <w:pPr>
        <w:tabs>
          <w:tab w:val="left" w:pos="709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997B79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997B79">
        <w:rPr>
          <w:rFonts w:ascii="Times New Roman" w:hAnsi="Times New Roman"/>
          <w:sz w:val="24"/>
          <w:szCs w:val="24"/>
          <w:highlight w:val="lightGray"/>
        </w:rPr>
      </w:r>
      <w:r w:rsidRPr="00997B79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997B79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="00F55E60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845929">
        <w:rPr>
          <w:rFonts w:ascii="Times New Roman" w:hAnsi="Times New Roman"/>
          <w:sz w:val="24"/>
          <w:szCs w:val="24"/>
          <w:highlight w:val="lightGray"/>
        </w:rPr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845929">
        <w:rPr>
          <w:rFonts w:ascii="Times New Roman" w:hAnsi="Times New Roman"/>
          <w:sz w:val="24"/>
          <w:szCs w:val="24"/>
          <w:highlight w:val="lightGray"/>
        </w:rPr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end"/>
      </w:r>
    </w:p>
    <w:p w14:paraId="420ED107" w14:textId="5D8D67D8" w:rsidR="005D5F37" w:rsidRPr="00326FC6" w:rsidRDefault="00E21A8E" w:rsidP="00845929">
      <w:pPr>
        <w:tabs>
          <w:tab w:val="left" w:pos="709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997B79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997B79">
        <w:rPr>
          <w:rFonts w:ascii="Times New Roman" w:hAnsi="Times New Roman"/>
          <w:sz w:val="24"/>
          <w:szCs w:val="24"/>
          <w:highlight w:val="lightGray"/>
        </w:rPr>
      </w:r>
      <w:r w:rsidRPr="00997B79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997B79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845929">
        <w:rPr>
          <w:rFonts w:ascii="Times New Roman" w:hAnsi="Times New Roman"/>
          <w:sz w:val="24"/>
          <w:szCs w:val="24"/>
          <w:highlight w:val="lightGray"/>
        </w:rPr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6FC6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845929">
        <w:rPr>
          <w:rFonts w:ascii="Times New Roman" w:hAnsi="Times New Roman"/>
          <w:sz w:val="24"/>
          <w:szCs w:val="24"/>
          <w:highlight w:val="lightGray"/>
        </w:rPr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326FC6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845929">
        <w:rPr>
          <w:rFonts w:ascii="Times New Roman" w:hAnsi="Times New Roman"/>
          <w:sz w:val="24"/>
          <w:szCs w:val="24"/>
          <w:highlight w:val="lightGray"/>
        </w:rPr>
        <w:fldChar w:fldCharType="end"/>
      </w:r>
    </w:p>
    <w:p w14:paraId="4D75CFC9" w14:textId="77777777" w:rsidR="005D5F37" w:rsidRPr="00326FC6" w:rsidRDefault="005D5F37" w:rsidP="002B479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lightGray"/>
        </w:rPr>
      </w:pPr>
    </w:p>
    <w:p w14:paraId="3BB12E7B" w14:textId="77777777" w:rsidR="005D5F37" w:rsidRPr="00326FC6" w:rsidRDefault="005D5F37" w:rsidP="002B479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lightGray"/>
        </w:rPr>
      </w:pPr>
    </w:p>
    <w:p w14:paraId="17510412" w14:textId="77777777" w:rsidR="00176E10" w:rsidRPr="00326FC6" w:rsidRDefault="00176E10" w:rsidP="001A03C7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</w:rPr>
      </w:pPr>
      <w:r w:rsidRPr="00326FC6">
        <w:rPr>
          <w:rFonts w:ascii="Times New Roman" w:hAnsi="Times New Roman"/>
          <w:sz w:val="24"/>
          <w:szCs w:val="24"/>
        </w:rPr>
        <w:t>Заказчик</w:t>
      </w:r>
      <w:r w:rsidRPr="00326FC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Подрядчик</w:t>
      </w:r>
    </w:p>
    <w:p w14:paraId="1A15E2C9" w14:textId="77777777" w:rsidR="00176E10" w:rsidRPr="00326FC6" w:rsidRDefault="00176E10" w:rsidP="00CC48E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sz w:val="24"/>
          <w:szCs w:val="24"/>
        </w:rPr>
      </w:r>
      <w:r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_______________</w:t>
      </w:r>
      <w:r w:rsidRPr="00997B79">
        <w:rPr>
          <w:rFonts w:ascii="Times New Roman" w:hAnsi="Times New Roman"/>
          <w:bCs/>
          <w:sz w:val="24"/>
          <w:szCs w:val="24"/>
        </w:rPr>
        <w:fldChar w:fldCharType="end"/>
      </w:r>
      <w:r w:rsidRPr="00326FC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sz w:val="24"/>
          <w:szCs w:val="24"/>
        </w:rPr>
      </w:r>
      <w:r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_______________</w:t>
      </w:r>
      <w:r w:rsidRPr="00997B79">
        <w:rPr>
          <w:rFonts w:ascii="Times New Roman" w:hAnsi="Times New Roman"/>
          <w:bCs/>
          <w:sz w:val="24"/>
          <w:szCs w:val="24"/>
        </w:rPr>
        <w:fldChar w:fldCharType="end"/>
      </w:r>
    </w:p>
    <w:p w14:paraId="12293B6A" w14:textId="4CCF3558" w:rsidR="003E5144" w:rsidRPr="00326FC6" w:rsidRDefault="00176E10" w:rsidP="00393A6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sz w:val="24"/>
          <w:szCs w:val="24"/>
        </w:rPr>
      </w:r>
      <w:r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(М.П.,ФИО, подпись)</w:t>
      </w:r>
      <w:r w:rsidRPr="00997B79">
        <w:rPr>
          <w:rFonts w:ascii="Times New Roman" w:hAnsi="Times New Roman"/>
          <w:bCs/>
          <w:sz w:val="24"/>
          <w:szCs w:val="24"/>
        </w:rPr>
        <w:fldChar w:fldCharType="end"/>
      </w:r>
      <w:r w:rsidRPr="00326FC6">
        <w:rPr>
          <w:rFonts w:ascii="Times New Roman" w:hAnsi="Times New Roman"/>
          <w:bCs/>
          <w:sz w:val="24"/>
          <w:szCs w:val="24"/>
        </w:rPr>
        <w:t xml:space="preserve">                                                       </w:t>
      </w:r>
      <w:r w:rsidRPr="00997B7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326FC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97B79">
        <w:rPr>
          <w:rFonts w:ascii="Times New Roman" w:hAnsi="Times New Roman"/>
          <w:bCs/>
          <w:sz w:val="24"/>
          <w:szCs w:val="24"/>
        </w:rPr>
      </w:r>
      <w:r w:rsidRPr="00997B79">
        <w:rPr>
          <w:rFonts w:ascii="Times New Roman" w:hAnsi="Times New Roman"/>
          <w:bCs/>
          <w:sz w:val="24"/>
          <w:szCs w:val="24"/>
        </w:rPr>
        <w:fldChar w:fldCharType="separate"/>
      </w:r>
      <w:r w:rsidR="00A415C3" w:rsidRPr="00326FC6">
        <w:rPr>
          <w:rFonts w:ascii="Times New Roman" w:hAnsi="Times New Roman"/>
          <w:bCs/>
          <w:noProof/>
          <w:sz w:val="24"/>
          <w:szCs w:val="24"/>
        </w:rPr>
        <w:t>(М.П.,ФИО, подпись)</w:t>
      </w:r>
      <w:r w:rsidRPr="00997B79">
        <w:rPr>
          <w:rFonts w:ascii="Times New Roman" w:hAnsi="Times New Roman"/>
          <w:bCs/>
          <w:sz w:val="24"/>
          <w:szCs w:val="24"/>
        </w:rPr>
        <w:fldChar w:fldCharType="end"/>
      </w:r>
    </w:p>
    <w:sectPr w:rsidR="003E5144" w:rsidRPr="00326FC6" w:rsidSect="003065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988EB" w14:textId="77777777" w:rsidR="009B139F" w:rsidRDefault="009B139F" w:rsidP="00F25D0E">
      <w:pPr>
        <w:spacing w:after="0" w:line="240" w:lineRule="auto"/>
      </w:pPr>
      <w:r>
        <w:separator/>
      </w:r>
    </w:p>
  </w:endnote>
  <w:endnote w:type="continuationSeparator" w:id="0">
    <w:p w14:paraId="0C99B5D4" w14:textId="77777777" w:rsidR="009B139F" w:rsidRDefault="009B139F" w:rsidP="00F2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7E34C" w14:textId="77777777" w:rsidR="009B139F" w:rsidRDefault="009B139F" w:rsidP="00F25D0E">
      <w:pPr>
        <w:spacing w:after="0" w:line="240" w:lineRule="auto"/>
      </w:pPr>
      <w:r>
        <w:separator/>
      </w:r>
    </w:p>
  </w:footnote>
  <w:footnote w:type="continuationSeparator" w:id="0">
    <w:p w14:paraId="67B359BA" w14:textId="77777777" w:rsidR="009B139F" w:rsidRDefault="009B139F" w:rsidP="00F2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5CFC"/>
    <w:multiLevelType w:val="hybridMultilevel"/>
    <w:tmpl w:val="61124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F3EC0"/>
    <w:multiLevelType w:val="hybridMultilevel"/>
    <w:tmpl w:val="FB0C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08A3"/>
    <w:multiLevelType w:val="multilevel"/>
    <w:tmpl w:val="04B4EEB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3" w15:restartNumberingAfterBreak="0">
    <w:nsid w:val="43537905"/>
    <w:multiLevelType w:val="multilevel"/>
    <w:tmpl w:val="5A106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1800"/>
      </w:pPr>
      <w:rPr>
        <w:rFonts w:hint="default"/>
      </w:rPr>
    </w:lvl>
  </w:abstractNum>
  <w:abstractNum w:abstractNumId="4" w15:restartNumberingAfterBreak="0">
    <w:nsid w:val="51FD179A"/>
    <w:multiLevelType w:val="multilevel"/>
    <w:tmpl w:val="5A106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1800"/>
      </w:pPr>
      <w:rPr>
        <w:rFonts w:hint="default"/>
      </w:rPr>
    </w:lvl>
  </w:abstractNum>
  <w:abstractNum w:abstractNumId="5" w15:restartNumberingAfterBreak="0">
    <w:nsid w:val="7761112E"/>
    <w:multiLevelType w:val="multilevel"/>
    <w:tmpl w:val="601A3B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10"/>
    <w:rsid w:val="00000D04"/>
    <w:rsid w:val="000012A0"/>
    <w:rsid w:val="00024DDA"/>
    <w:rsid w:val="000262CD"/>
    <w:rsid w:val="0004142D"/>
    <w:rsid w:val="00055E12"/>
    <w:rsid w:val="00073AA6"/>
    <w:rsid w:val="00073F6D"/>
    <w:rsid w:val="00075880"/>
    <w:rsid w:val="00077882"/>
    <w:rsid w:val="000905C5"/>
    <w:rsid w:val="00092AD8"/>
    <w:rsid w:val="000A3573"/>
    <w:rsid w:val="000B15A6"/>
    <w:rsid w:val="000B376C"/>
    <w:rsid w:val="000B79B1"/>
    <w:rsid w:val="000C0CDB"/>
    <w:rsid w:val="000D01BC"/>
    <w:rsid w:val="000D439A"/>
    <w:rsid w:val="00101E49"/>
    <w:rsid w:val="00103628"/>
    <w:rsid w:val="00104882"/>
    <w:rsid w:val="001154A3"/>
    <w:rsid w:val="00132771"/>
    <w:rsid w:val="001337A3"/>
    <w:rsid w:val="00137F44"/>
    <w:rsid w:val="00141247"/>
    <w:rsid w:val="00143DF5"/>
    <w:rsid w:val="00150D98"/>
    <w:rsid w:val="0015130E"/>
    <w:rsid w:val="00161501"/>
    <w:rsid w:val="00166E7B"/>
    <w:rsid w:val="00176E10"/>
    <w:rsid w:val="00177DDB"/>
    <w:rsid w:val="00180497"/>
    <w:rsid w:val="00184944"/>
    <w:rsid w:val="001A03C7"/>
    <w:rsid w:val="001B3267"/>
    <w:rsid w:val="001B7331"/>
    <w:rsid w:val="001D1786"/>
    <w:rsid w:val="001D330C"/>
    <w:rsid w:val="001E4D65"/>
    <w:rsid w:val="001F2585"/>
    <w:rsid w:val="00213557"/>
    <w:rsid w:val="00214944"/>
    <w:rsid w:val="0022017F"/>
    <w:rsid w:val="0022040F"/>
    <w:rsid w:val="00220ADA"/>
    <w:rsid w:val="002238D8"/>
    <w:rsid w:val="00252330"/>
    <w:rsid w:val="00256006"/>
    <w:rsid w:val="00272511"/>
    <w:rsid w:val="0027557C"/>
    <w:rsid w:val="002929D3"/>
    <w:rsid w:val="002960E7"/>
    <w:rsid w:val="002A0E5B"/>
    <w:rsid w:val="002A160A"/>
    <w:rsid w:val="002B479F"/>
    <w:rsid w:val="002E091F"/>
    <w:rsid w:val="002E6241"/>
    <w:rsid w:val="002F1D3C"/>
    <w:rsid w:val="00300E82"/>
    <w:rsid w:val="003038A3"/>
    <w:rsid w:val="003065D9"/>
    <w:rsid w:val="00306CC2"/>
    <w:rsid w:val="00310AD9"/>
    <w:rsid w:val="003143AB"/>
    <w:rsid w:val="00320499"/>
    <w:rsid w:val="00326FC6"/>
    <w:rsid w:val="00340CFA"/>
    <w:rsid w:val="00344E86"/>
    <w:rsid w:val="0035470F"/>
    <w:rsid w:val="00363E1C"/>
    <w:rsid w:val="003834B0"/>
    <w:rsid w:val="00393A64"/>
    <w:rsid w:val="003A79F0"/>
    <w:rsid w:val="003B21F3"/>
    <w:rsid w:val="003D5AC4"/>
    <w:rsid w:val="003E5144"/>
    <w:rsid w:val="003F21E5"/>
    <w:rsid w:val="004014FD"/>
    <w:rsid w:val="0042217B"/>
    <w:rsid w:val="004237CA"/>
    <w:rsid w:val="00424109"/>
    <w:rsid w:val="00425A37"/>
    <w:rsid w:val="0046311D"/>
    <w:rsid w:val="004718D3"/>
    <w:rsid w:val="004A797B"/>
    <w:rsid w:val="004D7A35"/>
    <w:rsid w:val="004E57F1"/>
    <w:rsid w:val="004E7E4A"/>
    <w:rsid w:val="004F26EC"/>
    <w:rsid w:val="00505D1F"/>
    <w:rsid w:val="0052237F"/>
    <w:rsid w:val="005325BB"/>
    <w:rsid w:val="005339BF"/>
    <w:rsid w:val="00557B4A"/>
    <w:rsid w:val="005600BE"/>
    <w:rsid w:val="00563253"/>
    <w:rsid w:val="00575856"/>
    <w:rsid w:val="0059422D"/>
    <w:rsid w:val="005A0ADE"/>
    <w:rsid w:val="005A193A"/>
    <w:rsid w:val="005A75DD"/>
    <w:rsid w:val="005D2AA1"/>
    <w:rsid w:val="005D5F37"/>
    <w:rsid w:val="005E2970"/>
    <w:rsid w:val="005F11A1"/>
    <w:rsid w:val="005F6AEC"/>
    <w:rsid w:val="00604FB4"/>
    <w:rsid w:val="0061446B"/>
    <w:rsid w:val="00621485"/>
    <w:rsid w:val="006323C6"/>
    <w:rsid w:val="00645102"/>
    <w:rsid w:val="0068534B"/>
    <w:rsid w:val="00690FF7"/>
    <w:rsid w:val="006C51AE"/>
    <w:rsid w:val="006F135E"/>
    <w:rsid w:val="006F2C52"/>
    <w:rsid w:val="0071348A"/>
    <w:rsid w:val="00723717"/>
    <w:rsid w:val="00727BA7"/>
    <w:rsid w:val="007827B1"/>
    <w:rsid w:val="00783500"/>
    <w:rsid w:val="00783D20"/>
    <w:rsid w:val="0078491D"/>
    <w:rsid w:val="00785207"/>
    <w:rsid w:val="007914AA"/>
    <w:rsid w:val="00795E54"/>
    <w:rsid w:val="007D194E"/>
    <w:rsid w:val="00801686"/>
    <w:rsid w:val="00816D2E"/>
    <w:rsid w:val="008215BB"/>
    <w:rsid w:val="008339C4"/>
    <w:rsid w:val="00842232"/>
    <w:rsid w:val="00845929"/>
    <w:rsid w:val="00855753"/>
    <w:rsid w:val="00865AAA"/>
    <w:rsid w:val="0088038D"/>
    <w:rsid w:val="00894C26"/>
    <w:rsid w:val="00897D4A"/>
    <w:rsid w:val="008B3E82"/>
    <w:rsid w:val="008C3EA4"/>
    <w:rsid w:val="008E02C0"/>
    <w:rsid w:val="008F425A"/>
    <w:rsid w:val="008F6EB3"/>
    <w:rsid w:val="00940DF7"/>
    <w:rsid w:val="009551EC"/>
    <w:rsid w:val="00971247"/>
    <w:rsid w:val="00984A5F"/>
    <w:rsid w:val="00997B79"/>
    <w:rsid w:val="009B139F"/>
    <w:rsid w:val="009B343A"/>
    <w:rsid w:val="009C768E"/>
    <w:rsid w:val="009D15BD"/>
    <w:rsid w:val="009D43D8"/>
    <w:rsid w:val="009E3CD7"/>
    <w:rsid w:val="00A00238"/>
    <w:rsid w:val="00A06BCC"/>
    <w:rsid w:val="00A169C2"/>
    <w:rsid w:val="00A24A5F"/>
    <w:rsid w:val="00A3385B"/>
    <w:rsid w:val="00A33E9C"/>
    <w:rsid w:val="00A415C3"/>
    <w:rsid w:val="00A44204"/>
    <w:rsid w:val="00A56AA5"/>
    <w:rsid w:val="00A57177"/>
    <w:rsid w:val="00A672EF"/>
    <w:rsid w:val="00A7135C"/>
    <w:rsid w:val="00A86140"/>
    <w:rsid w:val="00A86254"/>
    <w:rsid w:val="00A9091E"/>
    <w:rsid w:val="00A93C1D"/>
    <w:rsid w:val="00AA0722"/>
    <w:rsid w:val="00AB3B84"/>
    <w:rsid w:val="00AD55C2"/>
    <w:rsid w:val="00AD6EBC"/>
    <w:rsid w:val="00AD7AD4"/>
    <w:rsid w:val="00AE514F"/>
    <w:rsid w:val="00AF3431"/>
    <w:rsid w:val="00B04A3C"/>
    <w:rsid w:val="00B05298"/>
    <w:rsid w:val="00B05750"/>
    <w:rsid w:val="00B203EF"/>
    <w:rsid w:val="00B21F70"/>
    <w:rsid w:val="00B45D49"/>
    <w:rsid w:val="00B676CF"/>
    <w:rsid w:val="00B72F1A"/>
    <w:rsid w:val="00B76AF0"/>
    <w:rsid w:val="00BA2B7D"/>
    <w:rsid w:val="00BB22FA"/>
    <w:rsid w:val="00BC5D65"/>
    <w:rsid w:val="00BE04E6"/>
    <w:rsid w:val="00BE578E"/>
    <w:rsid w:val="00C30E1D"/>
    <w:rsid w:val="00C55760"/>
    <w:rsid w:val="00C57A68"/>
    <w:rsid w:val="00C620EB"/>
    <w:rsid w:val="00C703CD"/>
    <w:rsid w:val="00C70766"/>
    <w:rsid w:val="00C84935"/>
    <w:rsid w:val="00C86446"/>
    <w:rsid w:val="00C901DB"/>
    <w:rsid w:val="00C979CA"/>
    <w:rsid w:val="00CA778B"/>
    <w:rsid w:val="00CB5797"/>
    <w:rsid w:val="00CC37A8"/>
    <w:rsid w:val="00CC48E9"/>
    <w:rsid w:val="00CD46C6"/>
    <w:rsid w:val="00CD4FB9"/>
    <w:rsid w:val="00CE6F2A"/>
    <w:rsid w:val="00CE7DA3"/>
    <w:rsid w:val="00CF0EF3"/>
    <w:rsid w:val="00D00BA1"/>
    <w:rsid w:val="00D029CF"/>
    <w:rsid w:val="00D049C7"/>
    <w:rsid w:val="00D11A7B"/>
    <w:rsid w:val="00D12F91"/>
    <w:rsid w:val="00D17173"/>
    <w:rsid w:val="00D31F3A"/>
    <w:rsid w:val="00D42E81"/>
    <w:rsid w:val="00D46E41"/>
    <w:rsid w:val="00D6487E"/>
    <w:rsid w:val="00D65B27"/>
    <w:rsid w:val="00D742E7"/>
    <w:rsid w:val="00D74610"/>
    <w:rsid w:val="00D95456"/>
    <w:rsid w:val="00DB266C"/>
    <w:rsid w:val="00DC029B"/>
    <w:rsid w:val="00DF05B2"/>
    <w:rsid w:val="00E01048"/>
    <w:rsid w:val="00E02209"/>
    <w:rsid w:val="00E027B3"/>
    <w:rsid w:val="00E05AC8"/>
    <w:rsid w:val="00E111EB"/>
    <w:rsid w:val="00E14CDC"/>
    <w:rsid w:val="00E21A8E"/>
    <w:rsid w:val="00E23BA4"/>
    <w:rsid w:val="00E26223"/>
    <w:rsid w:val="00E3007B"/>
    <w:rsid w:val="00E460B3"/>
    <w:rsid w:val="00E5245A"/>
    <w:rsid w:val="00E73F24"/>
    <w:rsid w:val="00E75906"/>
    <w:rsid w:val="00E96452"/>
    <w:rsid w:val="00EA2C67"/>
    <w:rsid w:val="00EB77CF"/>
    <w:rsid w:val="00EC0823"/>
    <w:rsid w:val="00EC7F61"/>
    <w:rsid w:val="00EE1CDC"/>
    <w:rsid w:val="00EF4A15"/>
    <w:rsid w:val="00EF4D1A"/>
    <w:rsid w:val="00EF5A36"/>
    <w:rsid w:val="00EF7C7A"/>
    <w:rsid w:val="00F03C64"/>
    <w:rsid w:val="00F06E7C"/>
    <w:rsid w:val="00F25D0E"/>
    <w:rsid w:val="00F33473"/>
    <w:rsid w:val="00F35F7F"/>
    <w:rsid w:val="00F55E60"/>
    <w:rsid w:val="00F60DC6"/>
    <w:rsid w:val="00F66779"/>
    <w:rsid w:val="00F74AE7"/>
    <w:rsid w:val="00F75A7B"/>
    <w:rsid w:val="00F763A8"/>
    <w:rsid w:val="00FA2217"/>
    <w:rsid w:val="00FD4200"/>
    <w:rsid w:val="00FD43F7"/>
    <w:rsid w:val="00FD5F7F"/>
    <w:rsid w:val="00F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F048"/>
  <w15:docId w15:val="{C36774F1-9929-43D1-9738-10872190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76E10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6E10"/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176E10"/>
    <w:pPr>
      <w:spacing w:after="120" w:line="480" w:lineRule="auto"/>
      <w:ind w:left="283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176E10"/>
    <w:rPr>
      <w:rFonts w:ascii="Times New Roman" w:eastAsia="Times New Roman" w:hAnsi="Times New Roman"/>
    </w:rPr>
  </w:style>
  <w:style w:type="paragraph" w:customStyle="1" w:styleId="Style6">
    <w:name w:val="Style6"/>
    <w:basedOn w:val="a"/>
    <w:rsid w:val="00176E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76E10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4A5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84A5F"/>
    <w:rPr>
      <w:rFonts w:ascii="Tahoma" w:hAnsi="Tahoma" w:cs="Tahoma"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0D43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0D439A"/>
    <w:rPr>
      <w:sz w:val="16"/>
      <w:szCs w:val="16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F25D0E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F25D0E"/>
    <w:rPr>
      <w:lang w:eastAsia="en-US"/>
    </w:rPr>
  </w:style>
  <w:style w:type="character" w:styleId="a7">
    <w:name w:val="footnote reference"/>
    <w:uiPriority w:val="99"/>
    <w:semiHidden/>
    <w:unhideWhenUsed/>
    <w:rsid w:val="00F25D0E"/>
    <w:rPr>
      <w:vertAlign w:val="superscript"/>
    </w:rPr>
  </w:style>
  <w:style w:type="character" w:styleId="a8">
    <w:name w:val="annotation reference"/>
    <w:uiPriority w:val="99"/>
    <w:semiHidden/>
    <w:unhideWhenUsed/>
    <w:rsid w:val="00FD5F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5F7F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FD5F7F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5F7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D5F7F"/>
    <w:rPr>
      <w:b/>
      <w:bCs/>
      <w:lang w:eastAsia="en-US"/>
    </w:rPr>
  </w:style>
  <w:style w:type="paragraph" w:styleId="ad">
    <w:name w:val="Revision"/>
    <w:hidden/>
    <w:uiPriority w:val="99"/>
    <w:semiHidden/>
    <w:rsid w:val="00FD5F7F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B72F1A"/>
    <w:pPr>
      <w:ind w:left="720"/>
      <w:contextualSpacing/>
    </w:pPr>
  </w:style>
  <w:style w:type="character" w:styleId="af">
    <w:name w:val="Hyperlink"/>
    <w:uiPriority w:val="99"/>
    <w:unhideWhenUsed/>
    <w:rsid w:val="003D5A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ru/material/directions/makroec/prognozy_socialno_ekonomicheskogo_razvit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conomy.gov.ru/material/directions/makroec/prognozy_socialno_ekonomicheskogo_razvi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6746-D70D-486D-872C-33ED41AE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95306EBA</Template>
  <TotalTime>7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RN-Inform</Company>
  <LinksUpToDate>false</LinksUpToDate>
  <CharactersWithSpaces>9452</CharactersWithSpaces>
  <SharedDoc>false</SharedDoc>
  <HLinks>
    <vt:vector size="6" baseType="variant">
      <vt:variant>
        <vt:i4>5636209</vt:i4>
      </vt:variant>
      <vt:variant>
        <vt:i4>51</vt:i4>
      </vt:variant>
      <vt:variant>
        <vt:i4>0</vt:i4>
      </vt:variant>
      <vt:variant>
        <vt:i4>5</vt:i4>
      </vt:variant>
      <vt:variant>
        <vt:lpwstr>https://www.economy.gov.ru/material/directions/makroec/prognozy_socialno_ekonomicheskogo_razvitiya/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А.В.</dc:creator>
  <cp:lastModifiedBy>Максимова Елена Владимировна</cp:lastModifiedBy>
  <cp:revision>7</cp:revision>
  <cp:lastPrinted>2018-10-18T06:06:00Z</cp:lastPrinted>
  <dcterms:created xsi:type="dcterms:W3CDTF">2020-12-15T14:29:00Z</dcterms:created>
  <dcterms:modified xsi:type="dcterms:W3CDTF">2020-12-23T07:41:00Z</dcterms:modified>
</cp:coreProperties>
</file>